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حورا : من القرى السبعة التي أقامها الاحتلال في النقب لاستيعاب مهجري النقب</w:t>
      </w:r>
    </w:p>
    <w:p>
      <w:pPr>
        <w:pStyle w:val="rtlJustify"/>
      </w:pPr>
      <w:r>
        <w:rPr>
          <w:rFonts w:ascii="Traditional Arabic" w:hAnsi="Traditional Arabic" w:eastAsia="Traditional Arabic" w:cs="Traditional Arabic"/>
          <w:sz w:val="28"/>
          <w:szCs w:val="28"/>
          <w:rtl/>
        </w:rPr>
        <w:t xml:space="preserve">تقع قرية حورا شمال شرق بئر السبع ط  وإلى الجنوب   ” ميتار” ط على شارع 60</w:t>
      </w:r>
    </w:p>
    <w:p>
      <w:pPr>
        <w:pStyle w:val="rtlJustify"/>
      </w:pPr>
      <w:r>
        <w:rPr>
          <w:rFonts w:ascii="Traditional Arabic" w:hAnsi="Traditional Arabic" w:eastAsia="Traditional Arabic" w:cs="Traditional Arabic"/>
          <w:sz w:val="28"/>
          <w:szCs w:val="28"/>
          <w:rtl/>
        </w:rPr>
        <w:t xml:space="preserve">قرية حورة البدوية تقع حورة في النقب الشمالي جنوب فلسطين المحتلة بالقرب من مفترق طرق استراتيجي قديما وحديثا، وهو الممر المركزي إلى منطقه الضفة الغربية من جهة الجنوب، كما أن حورة تقع على طريق 31 المؤدي إلى أكبر السياحية وهي منتجعات البحر الميت، </w:t>
      </w:r>
    </w:p>
    <w:p>
      <w:pPr>
        <w:pStyle w:val="rtlJustify"/>
      </w:pPr>
      <w:r>
        <w:rPr>
          <w:rFonts w:ascii="Traditional Arabic" w:hAnsi="Traditional Arabic" w:eastAsia="Traditional Arabic" w:cs="Traditional Arabic"/>
          <w:sz w:val="28"/>
          <w:szCs w:val="28"/>
          <w:rtl/>
        </w:rPr>
        <w:t xml:space="preserve">أقيمت قرية حوره عام 1989 كتجمع لبدو النقب الذين جرى السيطرة على ارضهم وتجميعهم في تجمعات سكنية</w:t>
      </w:r>
    </w:p>
    <w:p>
      <w:pPr>
        <w:pStyle w:val="rtlJustify"/>
      </w:pPr>
      <w:r>
        <w:rPr>
          <w:rFonts w:ascii="Traditional Arabic" w:hAnsi="Traditional Arabic" w:eastAsia="Traditional Arabic" w:cs="Traditional Arabic"/>
          <w:sz w:val="28"/>
          <w:szCs w:val="28"/>
          <w:rtl/>
        </w:rPr>
        <w:t xml:space="preserve"> القرى السبعة التي أقامها الاحتلال في النقب لاستيعاب مهجري النقب</w:t>
      </w:r>
    </w:p>
    <w:p>
      <w:pPr>
        <w:pStyle w:val="rtlJustify"/>
      </w:pPr>
      <w:r>
        <w:rPr>
          <w:rFonts w:ascii="Traditional Arabic" w:hAnsi="Traditional Arabic" w:eastAsia="Traditional Arabic" w:cs="Traditional Arabic"/>
          <w:sz w:val="28"/>
          <w:szCs w:val="28"/>
          <w:rtl/>
        </w:rPr>
        <w:t xml:space="preserve">وفقًا لسجلات الانتداب البريطاني فإنّ 12,600,000 دونم من أراضي النقب هي ملك للعرب البدو. ويكافح البدو، اليوم، للاحتفاظ بملكية 240,000 دونم من الأرض التي لا يزالون يمتلكونها. يعيش نحو 56% من البدو في 7 قرى أقامتها لهم الحكومة هي: رهط، حورا، تل السبع، لقية، شقيب السلام، كسيفة وعرعرة النقب.وتفتقر القرى المعترف بها إلى البنية التحتيّة الملائمة، وتوفر المساكن الرديئة، وتحصل على خدمات حكومية غير كافية، شأنها شأن القرى العربية الأخرى.</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سميت نسبة لخربة حور المجاورة للمنطقة.</w:t>
      </w:r>
    </w:p>
    <w:p/>
    <w:p>
      <w:pPr>
        <w:pStyle w:val="Heading2"/>
      </w:pPr>
      <w:bookmarkStart w:id="1" w:name="_Toc1"/>
      <w:r>
        <w:t>التعليم</w:t>
      </w:r>
      <w:bookmarkEnd w:id="1"/>
    </w:p>
    <w:p>
      <w:pPr>
        <w:pStyle w:val="rtlJustify"/>
      </w:pPr>
      <w:r>
        <w:rPr>
          <w:rFonts w:ascii="Traditional Arabic" w:hAnsi="Traditional Arabic" w:eastAsia="Traditional Arabic" w:cs="Traditional Arabic"/>
          <w:sz w:val="28"/>
          <w:szCs w:val="28"/>
          <w:rtl/>
        </w:rPr>
        <w:t xml:space="preserve">ميدان التربية والتعليم</w:t>
      </w:r>
    </w:p>
    <w:p>
      <w:pPr>
        <w:pStyle w:val="rtlJustify"/>
      </w:pPr>
      <w:r>
        <w:rPr>
          <w:rFonts w:ascii="Traditional Arabic" w:hAnsi="Traditional Arabic" w:eastAsia="Traditional Arabic" w:cs="Traditional Arabic"/>
          <w:sz w:val="28"/>
          <w:szCs w:val="28"/>
          <w:rtl/>
        </w:rPr>
        <w:t xml:space="preserve">تم تنفيذ عشرات المشاريع الطلائعية ومن أبرزها المنظومة البيئية الأولى في البلاد والثالثة في العالم، والتشبيك المحوسب للبلدة، إضافة إلى ابتكار الوسائل والمراكز التشغيلية لمساعدة السكان في الانخراط في سوق العمل والإنتاج واكتساب المهن.</w:t>
      </w:r>
    </w:p>
    <w:p>
      <w:pPr>
        <w:pStyle w:val="rtlJustify"/>
      </w:pPr>
      <w:r>
        <w:rPr>
          <w:rFonts w:ascii="Traditional Arabic" w:hAnsi="Traditional Arabic" w:eastAsia="Traditional Arabic" w:cs="Traditional Arabic"/>
          <w:sz w:val="28"/>
          <w:szCs w:val="28"/>
          <w:rtl/>
        </w:rPr>
        <w:t xml:space="preserve"> المؤسسات التعليمية</w:t>
      </w:r>
    </w:p>
    <w:p>
      <w:pPr>
        <w:pStyle w:val="rtlJustify"/>
      </w:pPr>
      <w:r>
        <w:rPr>
          <w:rFonts w:ascii="Traditional Arabic" w:hAnsi="Traditional Arabic" w:eastAsia="Traditional Arabic" w:cs="Traditional Arabic"/>
          <w:sz w:val="28"/>
          <w:szCs w:val="28"/>
          <w:rtl/>
        </w:rPr>
        <w:t xml:space="preserve">مدارس ثانوية</w:t>
      </w:r>
    </w:p>
    <w:p>
      <w:pPr>
        <w:pStyle w:val="rtlJustify"/>
      </w:pPr>
      <w:r>
        <w:rPr>
          <w:rFonts w:ascii="Traditional Arabic" w:hAnsi="Traditional Arabic" w:eastAsia="Traditional Arabic" w:cs="Traditional Arabic"/>
          <w:sz w:val="28"/>
          <w:szCs w:val="28"/>
          <w:rtl/>
        </w:rPr>
        <w:t xml:space="preserve">مدارس عادية: «عهد» «النور» «السلام» «حورة الشاملة» «البيادر»، «الحياة» «المدرسة التكنولوجية».</w:t>
      </w:r>
    </w:p>
    <w:p>
      <w:pPr>
        <w:pStyle w:val="rtlJustify"/>
      </w:pPr>
      <w:r>
        <w:rPr>
          <w:rFonts w:ascii="Traditional Arabic" w:hAnsi="Traditional Arabic" w:eastAsia="Traditional Arabic" w:cs="Traditional Arabic"/>
          <w:sz w:val="28"/>
          <w:szCs w:val="28"/>
          <w:rtl/>
        </w:rPr>
        <w:t xml:space="preserve">أطر تربوية متخصصة: مدرسة «الوفاء» للتوحديين، مدرسة التربية الخاصة، مركز الموهوبين.</w:t>
      </w:r>
    </w:p>
    <w:p>
      <w:pPr>
        <w:pStyle w:val="rtlJustify"/>
      </w:pPr>
      <w:r>
        <w:rPr>
          <w:rFonts w:ascii="Traditional Arabic" w:hAnsi="Traditional Arabic" w:eastAsia="Traditional Arabic" w:cs="Traditional Arabic"/>
          <w:sz w:val="28"/>
          <w:szCs w:val="28"/>
          <w:rtl/>
        </w:rPr>
        <w:t xml:space="preserve">مدارس ابتدائية وأطر للطفولة المبكرة</w:t>
      </w:r>
    </w:p>
    <w:p>
      <w:pPr>
        <w:pStyle w:val="rtlJustify"/>
      </w:pPr>
      <w:r>
        <w:rPr>
          <w:rFonts w:ascii="Traditional Arabic" w:hAnsi="Traditional Arabic" w:eastAsia="Traditional Arabic" w:cs="Traditional Arabic"/>
          <w:sz w:val="28"/>
          <w:szCs w:val="28"/>
          <w:rtl/>
        </w:rPr>
        <w:t xml:space="preserve">مدرسة «المجد»، مدرسة «الاندلس»، مدرسة «حورة –أ»، مدرسة «حورة- ب»:، مدرسة «الزهراء».</w:t>
      </w:r>
    </w:p>
    <w:p>
      <w:pPr>
        <w:pStyle w:val="rtlJustify"/>
      </w:pPr>
      <w:r>
        <w:rPr>
          <w:rFonts w:ascii="Traditional Arabic" w:hAnsi="Traditional Arabic" w:eastAsia="Traditional Arabic" w:cs="Traditional Arabic"/>
          <w:sz w:val="28"/>
          <w:szCs w:val="28"/>
          <w:rtl/>
        </w:rPr>
        <w:t xml:space="preserve">أكثر من خمسين روضة للاطفال من سن ثلاث سنوات وما فوق.</w:t>
      </w:r>
    </w:p>
    <w:p>
      <w:pPr>
        <w:pStyle w:val="rtlJustify"/>
      </w:pPr>
      <w:r>
        <w:rPr>
          <w:rFonts w:ascii="Traditional Arabic" w:hAnsi="Traditional Arabic" w:eastAsia="Traditional Arabic" w:cs="Traditional Arabic"/>
          <w:sz w:val="28"/>
          <w:szCs w:val="28"/>
          <w:rtl/>
        </w:rPr>
        <w:t xml:space="preserve">حضانات من عمر 3 أشهر حتى جيل 3 سنوات.</w:t>
      </w:r>
    </w:p>
    <w:p>
      <w:pPr>
        <w:pStyle w:val="rtlJustify"/>
      </w:pPr>
      <w:r>
        <w:rPr>
          <w:rFonts w:ascii="Traditional Arabic" w:hAnsi="Traditional Arabic" w:eastAsia="Traditional Arabic" w:cs="Traditional Arabic"/>
          <w:sz w:val="28"/>
          <w:szCs w:val="28"/>
          <w:rtl/>
        </w:rPr>
        <w:t xml:space="preserve">حضانات لرعاية أطفال الامهات العاملات.</w:t>
      </w:r>
    </w:p>
    <w:p>
      <w:pPr>
        <w:pStyle w:val="rtlJustify"/>
      </w:pPr>
      <w:r>
        <w:rPr>
          <w:rFonts w:ascii="Traditional Arabic" w:hAnsi="Traditional Arabic" w:eastAsia="Traditional Arabic" w:cs="Traditional Arabic"/>
          <w:sz w:val="28"/>
          <w:szCs w:val="28"/>
          <w:rtl/>
        </w:rPr>
        <w:t xml:space="preserve">مراكز تربوية أخرى</w:t>
      </w:r>
    </w:p>
    <w:p>
      <w:pPr>
        <w:pStyle w:val="rtlJustify"/>
      </w:pPr>
      <w:r>
        <w:rPr>
          <w:rFonts w:ascii="Traditional Arabic" w:hAnsi="Traditional Arabic" w:eastAsia="Traditional Arabic" w:cs="Traditional Arabic"/>
          <w:sz w:val="28"/>
          <w:szCs w:val="28"/>
          <w:rtl/>
        </w:rPr>
        <w:t xml:space="preserve">مركز «ماتيا» للتشخيص التربوي والعسر التعليمي.</w:t>
      </w:r>
    </w:p>
    <w:p>
      <w:pPr>
        <w:pStyle w:val="rtlJustify"/>
      </w:pPr>
      <w:r>
        <w:rPr>
          <w:rFonts w:ascii="Traditional Arabic" w:hAnsi="Traditional Arabic" w:eastAsia="Traditional Arabic" w:cs="Traditional Arabic"/>
          <w:sz w:val="28"/>
          <w:szCs w:val="28"/>
          <w:rtl/>
        </w:rPr>
        <w:t xml:space="preserve">روضة العلوم النموذجية.</w:t>
      </w:r>
    </w:p>
    <w:p>
      <w:pPr>
        <w:pStyle w:val="rtlJustify"/>
      </w:pPr>
      <w:r>
        <w:rPr>
          <w:rFonts w:ascii="Traditional Arabic" w:hAnsi="Traditional Arabic" w:eastAsia="Traditional Arabic" w:cs="Traditional Arabic"/>
          <w:sz w:val="28"/>
          <w:szCs w:val="28"/>
          <w:rtl/>
        </w:rPr>
        <w:t xml:space="preserve">بيت «مربية الأطفال» لخدمة معلمات البساتين.</w:t>
      </w:r>
    </w:p>
    <w:p>
      <w:pPr>
        <w:pStyle w:val="rtlJustify"/>
      </w:pPr>
      <w:r>
        <w:rPr>
          <w:rFonts w:ascii="Traditional Arabic" w:hAnsi="Traditional Arabic" w:eastAsia="Traditional Arabic" w:cs="Traditional Arabic"/>
          <w:sz w:val="28"/>
          <w:szCs w:val="28"/>
          <w:rtl/>
        </w:rPr>
        <w:t xml:space="preserve">مركز الطفولة المبكرة.</w:t>
      </w:r>
    </w:p>
    <w:p/>
    <w:p>
      <w:pPr>
        <w:pStyle w:val="Heading2"/>
      </w:pPr>
      <w:bookmarkStart w:id="2" w:name="_Toc2"/>
      <w:r>
        <w:t>المباني والمرافق الخدمية</w:t>
      </w:r>
      <w:bookmarkEnd w:id="2"/>
    </w:p>
    <w:p>
      <w:pPr>
        <w:pStyle w:val="rtlJustify"/>
      </w:pPr>
      <w:r>
        <w:rPr>
          <w:rFonts w:ascii="Traditional Arabic" w:hAnsi="Traditional Arabic" w:eastAsia="Traditional Arabic" w:cs="Traditional Arabic"/>
          <w:sz w:val="28"/>
          <w:szCs w:val="28"/>
          <w:rtl/>
        </w:rPr>
        <w:t xml:space="preserve">المؤسسات الخدماتية</w:t>
      </w:r>
    </w:p>
    <w:p>
      <w:pPr>
        <w:pStyle w:val="rtlJustify"/>
      </w:pPr>
      <w:r>
        <w:rPr>
          <w:rFonts w:ascii="Traditional Arabic" w:hAnsi="Traditional Arabic" w:eastAsia="Traditional Arabic" w:cs="Traditional Arabic"/>
          <w:sz w:val="28"/>
          <w:szCs w:val="28"/>
          <w:rtl/>
        </w:rPr>
        <w:t xml:space="preserve">المجلس المحلي وأقسامه المتنوعة ومنها: قسم الرفاه الاجتماعي وقسم الخدمات النفسية.</w:t>
      </w:r>
    </w:p>
    <w:p>
      <w:pPr>
        <w:pStyle w:val="rtlJustify"/>
      </w:pPr>
      <w:r>
        <w:rPr>
          <w:rFonts w:ascii="Traditional Arabic" w:hAnsi="Traditional Arabic" w:eastAsia="Traditional Arabic" w:cs="Traditional Arabic"/>
          <w:sz w:val="28"/>
          <w:szCs w:val="28"/>
          <w:rtl/>
        </w:rPr>
        <w:t xml:space="preserve">مركز خدمات الطوارئ (106) ويقدم الخدمات على المستوى الإقليمي والقطري أيضاً.</w:t>
      </w:r>
    </w:p>
    <w:p>
      <w:pPr>
        <w:pStyle w:val="rtlJustify"/>
      </w:pPr>
      <w:r>
        <w:rPr>
          <w:rFonts w:ascii="Traditional Arabic" w:hAnsi="Traditional Arabic" w:eastAsia="Traditional Arabic" w:cs="Traditional Arabic"/>
          <w:sz w:val="28"/>
          <w:szCs w:val="28"/>
          <w:rtl/>
        </w:rPr>
        <w:t xml:space="preserve">المركز الجماهيري.</w:t>
      </w:r>
    </w:p>
    <w:p>
      <w:pPr>
        <w:pStyle w:val="rtlJustify"/>
      </w:pPr>
      <w:r>
        <w:rPr>
          <w:rFonts w:ascii="Traditional Arabic" w:hAnsi="Traditional Arabic" w:eastAsia="Traditional Arabic" w:cs="Traditional Arabic"/>
          <w:sz w:val="28"/>
          <w:szCs w:val="28"/>
          <w:rtl/>
        </w:rPr>
        <w:t xml:space="preserve">المكتبة العامة.</w:t>
      </w:r>
    </w:p>
    <w:p>
      <w:pPr>
        <w:pStyle w:val="rtlJustify"/>
      </w:pPr>
      <w:r>
        <w:rPr>
          <w:rFonts w:ascii="Traditional Arabic" w:hAnsi="Traditional Arabic" w:eastAsia="Traditional Arabic" w:cs="Traditional Arabic"/>
          <w:sz w:val="28"/>
          <w:szCs w:val="28"/>
          <w:rtl/>
        </w:rPr>
        <w:t xml:space="preserve">مركز الشباب.</w:t>
      </w:r>
    </w:p>
    <w:p>
      <w:pPr>
        <w:pStyle w:val="rtlJustify"/>
      </w:pPr>
      <w:r>
        <w:rPr>
          <w:rFonts w:ascii="Traditional Arabic" w:hAnsi="Traditional Arabic" w:eastAsia="Traditional Arabic" w:cs="Traditional Arabic"/>
          <w:sz w:val="28"/>
          <w:szCs w:val="28"/>
          <w:rtl/>
        </w:rPr>
        <w:t xml:space="preserve">وحدة الشبيبة.</w:t>
      </w:r>
    </w:p>
    <w:p>
      <w:pPr>
        <w:pStyle w:val="rtlJustify"/>
      </w:pPr>
      <w:r>
        <w:rPr>
          <w:rFonts w:ascii="Traditional Arabic" w:hAnsi="Traditional Arabic" w:eastAsia="Traditional Arabic" w:cs="Traditional Arabic"/>
          <w:sz w:val="28"/>
          <w:szCs w:val="28"/>
          <w:rtl/>
        </w:rPr>
        <w:t xml:space="preserve">مركز (ريان) للتشغيل والتنمية البشرية</w:t>
      </w:r>
    </w:p>
    <w:p>
      <w:pPr>
        <w:pStyle w:val="rtlJustify"/>
      </w:pPr>
      <w:r>
        <w:rPr>
          <w:rFonts w:ascii="Traditional Arabic" w:hAnsi="Traditional Arabic" w:eastAsia="Traditional Arabic" w:cs="Traditional Arabic"/>
          <w:sz w:val="28"/>
          <w:szCs w:val="28"/>
          <w:rtl/>
        </w:rPr>
        <w:t xml:space="preserve">وحدة التخطيط الاستراتيجة</w:t>
      </w:r>
    </w:p>
    <w:p>
      <w:pPr>
        <w:pStyle w:val="rtlJustify"/>
      </w:pPr>
      <w:r>
        <w:rPr>
          <w:rFonts w:ascii="Traditional Arabic" w:hAnsi="Traditional Arabic" w:eastAsia="Traditional Arabic" w:cs="Traditional Arabic"/>
          <w:sz w:val="28"/>
          <w:szCs w:val="28"/>
          <w:rtl/>
        </w:rPr>
        <w:t xml:space="preserve">قاعات وملاعب رياضية</w:t>
      </w:r>
    </w:p>
    <w:p>
      <w:pPr>
        <w:pStyle w:val="rtlJustify"/>
      </w:pPr>
      <w:r>
        <w:rPr>
          <w:rFonts w:ascii="Traditional Arabic" w:hAnsi="Traditional Arabic" w:eastAsia="Traditional Arabic" w:cs="Traditional Arabic"/>
          <w:sz w:val="28"/>
          <w:szCs w:val="28"/>
          <w:rtl/>
        </w:rPr>
        <w:t xml:space="preserve">المراكز الصحية</w:t>
      </w:r>
    </w:p>
    <w:p>
      <w:pPr>
        <w:pStyle w:val="rtlJustify"/>
      </w:pPr>
      <w:r>
        <w:rPr>
          <w:rFonts w:ascii="Traditional Arabic" w:hAnsi="Traditional Arabic" w:eastAsia="Traditional Arabic" w:cs="Traditional Arabic"/>
          <w:sz w:val="28"/>
          <w:szCs w:val="28"/>
          <w:rtl/>
        </w:rPr>
        <w:t xml:space="preserve">مركز حورة الطبي.</w:t>
      </w:r>
    </w:p>
    <w:p>
      <w:pPr>
        <w:pStyle w:val="rtlJustify"/>
      </w:pPr>
      <w:r>
        <w:rPr>
          <w:rFonts w:ascii="Traditional Arabic" w:hAnsi="Traditional Arabic" w:eastAsia="Traditional Arabic" w:cs="Traditional Arabic"/>
          <w:sz w:val="28"/>
          <w:szCs w:val="28"/>
          <w:rtl/>
        </w:rPr>
        <w:t xml:space="preserve">مركز الخدمات الصحية الليلي.</w:t>
      </w:r>
    </w:p>
    <w:p>
      <w:pPr>
        <w:pStyle w:val="rtlJustify"/>
      </w:pPr>
      <w:r>
        <w:rPr>
          <w:rFonts w:ascii="Traditional Arabic" w:hAnsi="Traditional Arabic" w:eastAsia="Traditional Arabic" w:cs="Traditional Arabic"/>
          <w:sz w:val="28"/>
          <w:szCs w:val="28"/>
          <w:rtl/>
        </w:rPr>
        <w:t xml:space="preserve">عيادات صناديق المرضى.</w:t>
      </w:r>
    </w:p>
    <w:p>
      <w:pPr>
        <w:pStyle w:val="rtlJustify"/>
      </w:pPr>
      <w:r>
        <w:rPr>
          <w:rFonts w:ascii="Traditional Arabic" w:hAnsi="Traditional Arabic" w:eastAsia="Traditional Arabic" w:cs="Traditional Arabic"/>
          <w:sz w:val="28"/>
          <w:szCs w:val="28"/>
          <w:rtl/>
        </w:rPr>
        <w:t xml:space="preserve">وحدة متابعة نمو وتطور الطفل.</w:t>
      </w:r>
    </w:p>
    <w:p>
      <w:pPr>
        <w:pStyle w:val="rtlJustify"/>
      </w:pPr>
      <w:r>
        <w:rPr>
          <w:rFonts w:ascii="Traditional Arabic" w:hAnsi="Traditional Arabic" w:eastAsia="Traditional Arabic" w:cs="Traditional Arabic"/>
          <w:sz w:val="28"/>
          <w:szCs w:val="28"/>
          <w:rtl/>
        </w:rPr>
        <w:t xml:space="preserve">مراكز الامومة والطفولة.</w:t>
      </w:r>
    </w:p>
    <w:p>
      <w:pPr>
        <w:pStyle w:val="rtlJustify"/>
      </w:pPr>
      <w:r>
        <w:rPr>
          <w:rFonts w:ascii="Traditional Arabic" w:hAnsi="Traditional Arabic" w:eastAsia="Traditional Arabic" w:cs="Traditional Arabic"/>
          <w:sz w:val="28"/>
          <w:szCs w:val="28"/>
          <w:rtl/>
        </w:rPr>
        <w:t xml:space="preserve">عيادات خاصة لطب الاسنان.</w:t>
      </w:r>
    </w:p>
    <w:p>
      <w:pPr>
        <w:pStyle w:val="rtlJustify"/>
      </w:pPr>
      <w:r>
        <w:rPr>
          <w:rFonts w:ascii="Traditional Arabic" w:hAnsi="Traditional Arabic" w:eastAsia="Traditional Arabic" w:cs="Traditional Arabic"/>
          <w:sz w:val="28"/>
          <w:szCs w:val="28"/>
          <w:rtl/>
        </w:rPr>
        <w:t xml:space="preserve">صيدليات.</w:t>
      </w:r>
    </w:p>
    <w:p/>
    <w:p>
      <w:pPr>
        <w:pStyle w:val="Heading2"/>
      </w:pPr>
      <w:bookmarkStart w:id="3" w:name="_Toc3"/>
      <w:r>
        <w:t>التجارة في القرية</w:t>
      </w:r>
      <w:bookmarkEnd w:id="3"/>
    </w:p>
    <w:p>
      <w:pPr>
        <w:pStyle w:val="rtlJustify"/>
      </w:pPr>
      <w:r>
        <w:rPr>
          <w:rFonts w:ascii="Traditional Arabic" w:hAnsi="Traditional Arabic" w:eastAsia="Traditional Arabic" w:cs="Traditional Arabic"/>
          <w:sz w:val="28"/>
          <w:szCs w:val="28"/>
          <w:rtl/>
        </w:rPr>
        <w:t xml:space="preserve">الصناعة والتجارة</w:t>
      </w:r>
    </w:p>
    <w:p>
      <w:pPr>
        <w:pStyle w:val="rtlJustify"/>
      </w:pPr>
      <w:r>
        <w:rPr>
          <w:rFonts w:ascii="Traditional Arabic" w:hAnsi="Traditional Arabic" w:eastAsia="Traditional Arabic" w:cs="Traditional Arabic"/>
          <w:sz w:val="28"/>
          <w:szCs w:val="28"/>
          <w:rtl/>
        </w:rPr>
        <w:t xml:space="preserve">على الجهة اليسرى من مداخل البلدة تمتد منطقة صناعية وحرفية تعج بالورش والمعامل والخدمات الأخرى، كما تنتشر في أنحاء البلدة العشرات من المحلات التجارية المتنوعة التي تخدم سكان البلدة والمناطق المجاورة.</w:t>
      </w:r>
    </w:p>
    <w:p>
      <w:pPr>
        <w:pStyle w:val="rtlJustify"/>
      </w:pPr>
      <w:r>
        <w:rPr>
          <w:rFonts w:ascii="Traditional Arabic" w:hAnsi="Traditional Arabic" w:eastAsia="Traditional Arabic" w:cs="Traditional Arabic"/>
          <w:sz w:val="28"/>
          <w:szCs w:val="28"/>
          <w:rtl/>
        </w:rPr>
        <w:t xml:space="preserve"> إنشاء وتأسيس الشركة الاقتصادية الأولى في البلدات العربية في الجنوب.</w:t>
      </w:r>
    </w:p>
    <w:p>
      <w:pPr>
        <w:pStyle w:val="rtlJustify"/>
      </w:pPr>
      <w:r>
        <w:rPr>
          <w:rFonts w:ascii="Traditional Arabic" w:hAnsi="Traditional Arabic" w:eastAsia="Traditional Arabic" w:cs="Traditional Arabic"/>
          <w:sz w:val="28"/>
          <w:szCs w:val="28"/>
          <w:rtl/>
        </w:rPr>
        <w:t xml:space="preserve">إنجازات</w:t>
      </w:r>
    </w:p>
    <w:p>
      <w:pPr>
        <w:pStyle w:val="rtlJustify"/>
      </w:pPr>
      <w:r>
        <w:rPr>
          <w:rFonts w:ascii="Traditional Arabic" w:hAnsi="Traditional Arabic" w:eastAsia="Traditional Arabic" w:cs="Traditional Arabic"/>
          <w:sz w:val="28"/>
          <w:szCs w:val="28"/>
          <w:rtl/>
        </w:rPr>
        <w:t xml:space="preserve">من الالقاب وشهادات التقدير والانجازات العامة التي تمكنت حورة من نيلها على مر السنين وخاصة في العقد الأخير: - الحصول على الجائزة القطرية للتربية والتعليم من قبل وزارة المعارف. - حصول رئيس سلطتها المحلية على لقب «فارس الحكم المحلي» من قبل سلطة جودة الحكم. - الحصول على لقب «القرية الخضراء» وجائزة البيئة النظيفة من قبل وزارة جودة البيئة. - التوقيع على اتفاقية توأمة مع بلدية (سنجق تبه) التركية.</w:t>
      </w:r>
    </w:p>
    <w:p>
      <w:pPr>
        <w:pStyle w:val="rtlJustify"/>
      </w:pPr>
      <w:r>
        <w:rPr>
          <w:rFonts w:ascii="Traditional Arabic" w:hAnsi="Traditional Arabic" w:eastAsia="Traditional Arabic" w:cs="Traditional Arabic"/>
          <w:sz w:val="28"/>
          <w:szCs w:val="28"/>
          <w:rtl/>
        </w:rPr>
        <w:t xml:space="preserve"> مشاريع</w:t>
      </w:r>
    </w:p>
    <w:p>
      <w:pPr>
        <w:pStyle w:val="rtlJustify"/>
      </w:pPr>
      <w:r>
        <w:rPr>
          <w:rFonts w:ascii="Traditional Arabic" w:hAnsi="Traditional Arabic" w:eastAsia="Traditional Arabic" w:cs="Traditional Arabic"/>
          <w:sz w:val="28"/>
          <w:szCs w:val="28"/>
          <w:rtl/>
        </w:rPr>
        <w:t xml:space="preserve">مشروع «وادي عتير» – المنظومة البيئية الصحراوية.</w:t>
      </w:r>
    </w:p>
    <w:p>
      <w:pPr>
        <w:pStyle w:val="rtlJustify"/>
      </w:pPr>
      <w:r>
        <w:rPr>
          <w:rFonts w:ascii="Traditional Arabic" w:hAnsi="Traditional Arabic" w:eastAsia="Traditional Arabic" w:cs="Traditional Arabic"/>
          <w:sz w:val="28"/>
          <w:szCs w:val="28"/>
          <w:rtl/>
        </w:rPr>
        <w:t xml:space="preserve">المطبخ النسائي لاعداد الوجبات الساخنة للمدارس.</w:t>
      </w:r>
    </w:p>
    <w:p>
      <w:pPr>
        <w:pStyle w:val="rtlJustify"/>
      </w:pPr>
      <w:r>
        <w:rPr>
          <w:rFonts w:ascii="Traditional Arabic" w:hAnsi="Traditional Arabic" w:eastAsia="Traditional Arabic" w:cs="Traditional Arabic"/>
          <w:sz w:val="28"/>
          <w:szCs w:val="28"/>
          <w:rtl/>
        </w:rPr>
        <w:t xml:space="preserve">فرع شركة الاتصالات القطرية (بيزك)- مركز الخدمات الهاتفية القطري الوحيد من نوعه في بلدة عربية.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2026-04-05T02:49:30+00:00</dcterms:created>
  <dcterms:modified xsi:type="dcterms:W3CDTF">2026-04-05T02:49:30+00:00</dcterms:modified>
</cp:coreProperties>
</file>

<file path=docProps/custom.xml><?xml version="1.0" encoding="utf-8"?>
<Properties xmlns="http://schemas.openxmlformats.org/officeDocument/2006/custom-properties" xmlns:vt="http://schemas.openxmlformats.org/officeDocument/2006/docPropsVTypes"/>
</file>