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عرب المواسي</w:t>
      </w:r>
    </w:p>
    <w:p>
      <w:pPr>
        <w:pStyle w:val="rtlJustify"/>
      </w:pPr>
      <w:r>
        <w:rPr>
          <w:rFonts w:ascii="Traditional Arabic" w:hAnsi="Traditional Arabic" w:eastAsia="Traditional Arabic" w:cs="Traditional Arabic"/>
          <w:sz w:val="28"/>
          <w:szCs w:val="28"/>
          <w:rtl/>
        </w:rPr>
        <w:t xml:space="preserve">حدثت هذه المجزرة صبيحة يوم الثاني من شهر تشرين الثاني/ نوفمبر 1948 حيث هاجم الصهاينة قرية الوعرة السوداء (مضارب عرب المواسي) واعتقلوا 14 شاباً وأعدموهم بدم بارد.</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جنود من لواء جفعاتي في سياق عملية حيرام</w:t>
      </w:r>
    </w:p>
    <w:p/>
    <w:p>
      <w:pPr>
        <w:pStyle w:val="Heading2"/>
      </w:pPr>
      <w:bookmarkStart w:id="1" w:name="_Toc1"/>
      <w:r>
        <w:t>نتائج المجزرة</w:t>
      </w:r>
      <w:bookmarkEnd w:id="1"/>
    </w:p>
    <w:p>
      <w:pPr>
        <w:pStyle w:val="rtlJustify"/>
      </w:pPr>
      <w:r>
        <w:rPr>
          <w:rFonts w:ascii="Traditional Arabic" w:hAnsi="Traditional Arabic" w:eastAsia="Traditional Arabic" w:cs="Traditional Arabic"/>
          <w:sz w:val="28"/>
          <w:szCs w:val="28"/>
          <w:rtl/>
        </w:rPr>
        <w:t xml:space="preserve">16 شهيد</w:t>
      </w:r>
    </w:p>
    <w:p/>
    <w:p>
      <w:pPr>
        <w:pStyle w:val="Heading2"/>
      </w:pPr>
      <w:bookmarkStart w:id="2" w:name="_Toc2"/>
      <w:r>
        <w:t>أحداث المجزرة</w:t>
      </w:r>
      <w:bookmarkEnd w:id="2"/>
    </w:p>
    <w:p>
      <w:pPr>
        <w:pStyle w:val="rtlJustify"/>
      </w:pPr>
      <w:r>
        <w:rPr>
          <w:rFonts w:ascii="Traditional Arabic" w:hAnsi="Traditional Arabic" w:eastAsia="Traditional Arabic" w:cs="Traditional Arabic"/>
          <w:sz w:val="28"/>
          <w:szCs w:val="28"/>
          <w:rtl/>
        </w:rPr>
        <w:t xml:space="preserve">عقب يوم من احتلال عيلبون المجاورة، قتل جنديان صهيونيان شابين من المواسي كانوا يرعون أبقارهم في الأراضي المحيطة بالقرية، ثم جاهموا القرية في صباح اليوم التالي، وجمعوا عدداً من الشبان، بتهمة مساعدة جيش الإنقاذ، ثم اختاروا منهم 14 شاباً، ثم اقتادتوهم إلى الطرف الغربي من قرية عيلبون عند مدخل سهل البطوف الشرقي، في موقع يعرف باسم “باب الثنايا” وهناك قاموا بإعدامهم رميًا بالرصاص، وكان من بينهم أخوة وأبناء من عائلة واحدة.</w:t>
      </w:r>
    </w:p>
    <w:p>
      <w:pPr>
        <w:pStyle w:val="rtlJustify"/>
      </w:pPr>
      <w:r>
        <w:rPr>
          <w:rFonts w:ascii="Traditional Arabic" w:hAnsi="Traditional Arabic" w:eastAsia="Traditional Arabic" w:cs="Traditional Arabic"/>
          <w:sz w:val="28"/>
          <w:szCs w:val="28"/>
          <w:rtl/>
        </w:rPr>
        <w:t xml:space="preserve">نجا رجل واحد من المجزرة يدعى سعد محمد الذيب والذي كشف تفاصيل المجزرة، ووفق شهادات عيان بقيت جثث الضحايا منثورة في الخلاء دون دفنها لأيام عديدة، حتى تمكن أفراد من العشيرة بالنهاية من جمع الجثث ودفنها في مقبرة جماعية داخل مغارة في خربة البطوف الواقعة شرقي سهل البطوف، وبعد ما يزيد عن العشرين عام تم نقل رفاتهم إلى قبر خاص في قرية عيلبون، وتم تخليدهم في نصب تذكاري يحمل أسمائهم.</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عطية حمّود أرشيدمحمد عطية حمّودمقبل عطية حمّود أرشيدمعجل عطية حمّود أرشيدصالح عبد الله أرشيدحسين قاسم وحشسعيد محمد قاسمأسعد محمد قاسمباير حسن طهمحمد محمود طهنايف أسعد عيساتصالح يوسف الرمليحسين إبراهيم حمدخالد عبدو النوادريمحمد حسن النوادريأحمد حسن النوادري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2026-07-27T01:49:00+00:00</dcterms:created>
  <dcterms:modified xsi:type="dcterms:W3CDTF">2026-07-27T01:49:00+00:00</dcterms:modified>
</cp:coreProperties>
</file>

<file path=docProps/custom.xml><?xml version="1.0" encoding="utf-8"?>
<Properties xmlns="http://schemas.openxmlformats.org/officeDocument/2006/custom-properties" xmlns:vt="http://schemas.openxmlformats.org/officeDocument/2006/docPropsVTypes"/>
</file>