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الرمادة</w:t>
      </w:r>
    </w:p>
    <w:p>
      <w:pPr>
        <w:pStyle w:val="rtlJustify"/>
      </w:pPr>
      <w:r>
        <w:rPr>
          <w:rFonts w:ascii="Traditional Arabic" w:hAnsi="Traditional Arabic" w:eastAsia="Traditional Arabic" w:cs="Traditional Arabic"/>
          <w:sz w:val="28"/>
          <w:szCs w:val="28"/>
          <w:rtl/>
        </w:rPr>
        <w:t xml:space="preserve">قرية مزالة، سميت بحسب أقوال نسبةً إلى عبدلله بن رماحس القيسي الرمادي، وقيل أنها قرية افتتحها ابو عبيدة مع اليرموك والجابية وسرغ، وذكر قول آخر أنها من كلمة الرمادي وهي قرية في منطقة القطيفة في دمشق تنسب لسكانها أيضاً.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2025-11-06T01:19:00+00:00</dcterms:created>
  <dcterms:modified xsi:type="dcterms:W3CDTF">2025-11-06T01:19:00+00:00</dcterms:modified>
</cp:coreProperties>
</file>

<file path=docProps/custom.xml><?xml version="1.0" encoding="utf-8"?>
<Properties xmlns="http://schemas.openxmlformats.org/officeDocument/2006/custom-properties" xmlns:vt="http://schemas.openxmlformats.org/officeDocument/2006/docPropsVTypes"/>
</file>