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(181)... الباحث السياسي حسن الباش (أبو وسام)</w:t>
      </w:r>
    </w:p>
    <w:p>
      <w:pPr>
        <w:pStyle w:val="rtlJustify"/>
      </w:pPr>
      <w:r>
        <w:rPr>
          <w:rFonts w:ascii="Traditional Arabic" w:hAnsi="Traditional Arabic" w:eastAsia="Traditional Arabic" w:cs="Traditional Arabic"/>
          <w:sz w:val="28"/>
          <w:szCs w:val="28"/>
          <w:rtl/>
        </w:rPr>
        <w:t xml:space="preserve">هو باحث وسياسي وصحفي وشاعر فلسطيني، ولد في طيرة حيفا عام 1946، وتوفي في دمشق في 27 نيسان/أبريل 2016)</w:t>
      </w:r>
    </w:p>
    <w:p>
      <w:pPr>
        <w:pStyle w:val="rtlJustify"/>
      </w:pPr>
      <w:r>
        <w:rPr>
          <w:rFonts w:ascii="Traditional Arabic" w:hAnsi="Traditional Arabic" w:eastAsia="Traditional Arabic" w:cs="Traditional Arabic"/>
          <w:sz w:val="28"/>
          <w:szCs w:val="28"/>
          <w:rtl/>
        </w:rPr>
        <w:t xml:space="preserve">له عدة أعمال فكرية وبحثية في مقارنات الأديان وفي التراث الشعبي.</w:t>
      </w:r>
    </w:p>
    <w:p>
      <w:pPr>
        <w:pStyle w:val="rtlJustify"/>
      </w:pPr>
      <w:r>
        <w:rPr>
          <w:rFonts w:ascii="Traditional Arabic" w:hAnsi="Traditional Arabic" w:eastAsia="Traditional Arabic" w:cs="Traditional Arabic"/>
          <w:sz w:val="28"/>
          <w:szCs w:val="28"/>
          <w:rtl/>
        </w:rPr>
        <w:t xml:space="preserve">هجرت أسرته في حرب عام 1948 بعد سقوط القرية في نيسان من ذلك العام، فلجأت إلى نابلس ثم إربد، ثم إلى دمشق حيث سكنت في خيمة في حي الأمين (مخيم الأليانس)، وانتقلت في عام 1960 إلى مخيم اليرموك. تزوج عام 1975، وله سبعة أبناء، درس الابتدائية والإعدادية في مدرسة فلسطين في مخيم الأليانس بحي الأمين في دمشق، ودرس الثانوية في ثانوية جودت الهاشمي بدمشق، ثم درس الأدب العربي في جامعة حلب، ثم في جامعة دمشق التي تخرج منها عام 1974 بإجازة في اللغة العربية، كما حصل على دبلوم دراسات عليا من كلية الإمام الأوزاعي في بيروت، وعلى الماجستير من جامعة أم درمان في المقارنة بين القران والتوراة، ثم على شهادة الدكتوراه من نفس الجامعة في المقارنة بين القران والأناجيل النصرانية.</w:t>
      </w:r>
    </w:p>
    <w:p>
      <w:pPr>
        <w:pStyle w:val="rtlJustify"/>
      </w:pPr>
      <w:r>
        <w:rPr>
          <w:rFonts w:ascii="Traditional Arabic" w:hAnsi="Traditional Arabic" w:eastAsia="Traditional Arabic" w:cs="Traditional Arabic"/>
          <w:sz w:val="28"/>
          <w:szCs w:val="28"/>
          <w:rtl/>
        </w:rPr>
        <w:t xml:space="preserve">عمل في التدريس منذ العام 1973 حتى العام 1990 وتنقل خلالها بين مدارس محافظة دمشق وريفها، إضافةً إلى عامين قضاهما في مدارس مدينة الرقة، ثم مديراً لثانوية سوق وادي بردى بريف دمشق، ثم عمل مدرساً لمادة مقارنة الأديان ومادة التاريخ في كلية الدعوة الإسلامية بدمشق، واستقال من العمل من مهنة التدريس في العام 1990.</w:t>
      </w:r>
    </w:p>
    <w:p>
      <w:pPr>
        <w:pStyle w:val="rtlJustify"/>
      </w:pPr>
      <w:r>
        <w:rPr>
          <w:rFonts w:ascii="Traditional Arabic" w:hAnsi="Traditional Arabic" w:eastAsia="Traditional Arabic" w:cs="Traditional Arabic"/>
          <w:sz w:val="28"/>
          <w:szCs w:val="28"/>
          <w:rtl/>
        </w:rPr>
        <w:t xml:space="preserve">لعب دوراً تربوياً وتعليمياً في مخيم اليرموك حيث حاضر في مقر كشافة فلسطين في الأعوام 1972 إلى 1983.</w:t>
      </w:r>
    </w:p>
    <w:p>
      <w:pPr>
        <w:pStyle w:val="rtlJustify"/>
      </w:pPr>
      <w:r>
        <w:rPr>
          <w:rFonts w:ascii="Traditional Arabic" w:hAnsi="Traditional Arabic" w:eastAsia="Traditional Arabic" w:cs="Traditional Arabic"/>
          <w:sz w:val="28"/>
          <w:szCs w:val="28"/>
          <w:rtl/>
        </w:rPr>
        <w:t xml:space="preserve">انضم إلى حركة فتح في العام 1964 قبل انطلاقتها المسلحة بعام، وتدرج في عملها التنظيمي ليصل إلى أمين سر شعبة (شعبة شهداء أيلول) ثم ترك التنظيم في العام 1981.</w:t>
      </w:r>
    </w:p>
    <w:p>
      <w:pPr>
        <w:pStyle w:val="rtlJustify"/>
      </w:pPr>
      <w:r>
        <w:rPr>
          <w:rFonts w:ascii="Traditional Arabic" w:hAnsi="Traditional Arabic" w:eastAsia="Traditional Arabic" w:cs="Traditional Arabic"/>
          <w:sz w:val="28"/>
          <w:szCs w:val="28"/>
          <w:rtl/>
        </w:rPr>
        <w:t xml:space="preserve">كان أحد المؤسسين لفرع اتحاد الكتاب والصحفيين الفلسطينيين في سورية في النصف الأول من سبعينيات القرن العشرين.عمل في الهيئة الخيرية لإغاثة الشعب الفلسطيني وكان رئيسا لتحرير مجلتها الخيرية، ثم ترأس مجلس إدارة هيئة القدس الخيرية إلى حين وفاته.إنضم عام 1989 إلى حركة الجهاد الاسلامي، وتفرغ لبناء جهاز إعلامي للحركة، فأشرف إلى جانب الدكتور فتحي الشقاقي على إصدار نشرة «المجاهد» الأسبوعية ومجلة «الأمة» الشهرية، ومجلة «قراءات سياسية» الفصلية، ثم تولى رئاسة تحرير مجلة «الإسلام وفلسطين».ترأس عدة لجان مفاوضات لتحييد مخيم اليرموك عن الصراع في سورية وكان آخرها اللجنة الشعبية لمخيم اليرموك الذي ظل يترأسها حتى وفاته.أصبح عضواً في الأمانة العامة لاتحاد الكتاب والصحفيين الفلسطينيين منذ تسعينيات القرن الماضي حتى وفاته، وكان عضواً في اتحاد الأدباء والكتاب العرب.وتجاوزت مؤلفاته 40 كتاباً والبعض منها لم ينشر بعد، وله مئات المقالات والمنشورات في الأدب الصهيوني والقدس وفلسطين وقضايا فكرية وسياسية وتاريخية، وحقق العديد من الكتب والمخطوطات.</w:t>
      </w:r>
    </w:p>
    <w:p>
      <w:pPr>
        <w:pStyle w:val="rtlJustify"/>
      </w:pPr>
      <w:r>
        <w:rPr>
          <w:rFonts w:ascii="Traditional Arabic" w:hAnsi="Traditional Arabic" w:eastAsia="Traditional Arabic" w:cs="Traditional Arabic"/>
          <w:sz w:val="28"/>
          <w:szCs w:val="28"/>
          <w:rtl/>
        </w:rPr>
        <w:t xml:space="preserve">في مقارنة الأديان</w:t>
      </w:r>
    </w:p>
    <w:p>
      <w:pPr>
        <w:pStyle w:val="rtlJustify"/>
      </w:pPr>
      <w:r>
        <w:rPr>
          <w:rFonts w:ascii="Traditional Arabic" w:hAnsi="Traditional Arabic" w:eastAsia="Traditional Arabic" w:cs="Traditional Arabic"/>
          <w:sz w:val="28"/>
          <w:szCs w:val="28"/>
          <w:rtl/>
        </w:rPr>
        <w:t xml:space="preserve">القرآن والتوراة اين يلتقيان واين يختلفان</w:t>
      </w:r>
    </w:p>
    <w:p>
      <w:pPr>
        <w:pStyle w:val="rtlJustify"/>
      </w:pPr>
      <w:r>
        <w:rPr>
          <w:rFonts w:ascii="Traditional Arabic" w:hAnsi="Traditional Arabic" w:eastAsia="Traditional Arabic" w:cs="Traditional Arabic"/>
          <w:sz w:val="28"/>
          <w:szCs w:val="28"/>
          <w:rtl/>
        </w:rPr>
        <w:t xml:space="preserve">العقيدة النصرانية بين القرآن والاناجيل</w:t>
      </w:r>
    </w:p>
    <w:p>
      <w:pPr>
        <w:pStyle w:val="rtlJustify"/>
      </w:pPr>
      <w:r>
        <w:rPr>
          <w:rFonts w:ascii="Traditional Arabic" w:hAnsi="Traditional Arabic" w:eastAsia="Traditional Arabic" w:cs="Traditional Arabic"/>
          <w:sz w:val="28"/>
          <w:szCs w:val="28"/>
          <w:rtl/>
        </w:rPr>
        <w:t xml:space="preserve">إبراهيم عليه السلام كاهن التوراة أم نبي القرآن</w:t>
      </w:r>
    </w:p>
    <w:p>
      <w:pPr>
        <w:pStyle w:val="rtlJustify"/>
      </w:pPr>
      <w:r>
        <w:rPr>
          <w:rFonts w:ascii="Traditional Arabic" w:hAnsi="Traditional Arabic" w:eastAsia="Traditional Arabic" w:cs="Traditional Arabic"/>
          <w:sz w:val="28"/>
          <w:szCs w:val="28"/>
          <w:rtl/>
        </w:rPr>
        <w:t xml:space="preserve">موسى عليه السلام وترتيلة التوحيد</w:t>
      </w:r>
    </w:p>
    <w:p>
      <w:pPr>
        <w:pStyle w:val="rtlJustify"/>
      </w:pPr>
      <w:r>
        <w:rPr>
          <w:rFonts w:ascii="Traditional Arabic" w:hAnsi="Traditional Arabic" w:eastAsia="Traditional Arabic" w:cs="Traditional Arabic"/>
          <w:sz w:val="28"/>
          <w:szCs w:val="28"/>
          <w:rtl/>
        </w:rPr>
        <w:t xml:space="preserve">الكتاب والتوراة عندما باع الحاخامات موسى عليه السلام</w:t>
      </w:r>
    </w:p>
    <w:p>
      <w:pPr>
        <w:pStyle w:val="rtlJustify"/>
      </w:pPr>
      <w:r>
        <w:rPr>
          <w:rFonts w:ascii="Traditional Arabic" w:hAnsi="Traditional Arabic" w:eastAsia="Traditional Arabic" w:cs="Traditional Arabic"/>
          <w:sz w:val="28"/>
          <w:szCs w:val="28"/>
          <w:rtl/>
        </w:rPr>
        <w:t xml:space="preserve">سليمان عليه السلام صرخة النبوة في وجه الخرافة التوراتية</w:t>
      </w:r>
    </w:p>
    <w:p>
      <w:pPr>
        <w:pStyle w:val="rtlJustify"/>
      </w:pPr>
      <w:r>
        <w:rPr>
          <w:rFonts w:ascii="Traditional Arabic" w:hAnsi="Traditional Arabic" w:eastAsia="Traditional Arabic" w:cs="Traditional Arabic"/>
          <w:sz w:val="28"/>
          <w:szCs w:val="28"/>
          <w:rtl/>
        </w:rPr>
        <w:t xml:space="preserve">إنجيل برنابا</w:t>
      </w:r>
    </w:p>
    <w:p>
      <w:pPr>
        <w:pStyle w:val="rtlJustify"/>
      </w:pPr>
      <w:r>
        <w:rPr>
          <w:rFonts w:ascii="Traditional Arabic" w:hAnsi="Traditional Arabic" w:eastAsia="Traditional Arabic" w:cs="Traditional Arabic"/>
          <w:sz w:val="28"/>
          <w:szCs w:val="28"/>
          <w:rtl/>
        </w:rPr>
        <w:t xml:space="preserve">علم مقارنة الاديان –اصوله ومناهجه ومساهمة علماء المسلمين والغرب في تاصيله</w:t>
      </w:r>
    </w:p>
    <w:p>
      <w:pPr>
        <w:pStyle w:val="rtlJustify"/>
      </w:pPr>
      <w:r>
        <w:rPr>
          <w:rFonts w:ascii="Traditional Arabic" w:hAnsi="Traditional Arabic" w:eastAsia="Traditional Arabic" w:cs="Traditional Arabic"/>
          <w:sz w:val="28"/>
          <w:szCs w:val="28"/>
          <w:rtl/>
        </w:rPr>
        <w:t xml:space="preserve">أعمال فكرية وسياسية</w:t>
      </w:r>
    </w:p>
    <w:p>
      <w:pPr>
        <w:pStyle w:val="rtlJustify"/>
      </w:pPr>
      <w:r>
        <w:rPr>
          <w:rFonts w:ascii="Traditional Arabic" w:hAnsi="Traditional Arabic" w:eastAsia="Traditional Arabic" w:cs="Traditional Arabic"/>
          <w:sz w:val="28"/>
          <w:szCs w:val="28"/>
          <w:rtl/>
        </w:rPr>
        <w:t xml:space="preserve">زحف العنصرية ومواجهة الإسلام</w:t>
      </w:r>
    </w:p>
    <w:p>
      <w:pPr>
        <w:pStyle w:val="rtlJustify"/>
      </w:pPr>
      <w:r>
        <w:rPr>
          <w:rFonts w:ascii="Traditional Arabic" w:hAnsi="Traditional Arabic" w:eastAsia="Traditional Arabic" w:cs="Traditional Arabic"/>
          <w:sz w:val="28"/>
          <w:szCs w:val="28"/>
          <w:rtl/>
        </w:rPr>
        <w:t xml:space="preserve">صدام الحضارات، حتمية قدرية أم لوثة بشرية</w:t>
      </w:r>
    </w:p>
    <w:p>
      <w:pPr>
        <w:pStyle w:val="rtlJustify"/>
      </w:pPr>
      <w:r>
        <w:rPr>
          <w:rFonts w:ascii="Traditional Arabic" w:hAnsi="Traditional Arabic" w:eastAsia="Traditional Arabic" w:cs="Traditional Arabic"/>
          <w:sz w:val="28"/>
          <w:szCs w:val="28"/>
          <w:rtl/>
        </w:rPr>
        <w:t xml:space="preserve">الإسلام وثقافة الهزيمة، نقيضان في المواجهة</w:t>
      </w:r>
    </w:p>
    <w:p>
      <w:pPr>
        <w:pStyle w:val="rtlJustify"/>
      </w:pPr>
      <w:r>
        <w:rPr>
          <w:rFonts w:ascii="Traditional Arabic" w:hAnsi="Traditional Arabic" w:eastAsia="Traditional Arabic" w:cs="Traditional Arabic"/>
          <w:sz w:val="28"/>
          <w:szCs w:val="28"/>
          <w:rtl/>
        </w:rPr>
        <w:t xml:space="preserve">الشرق والغرب مركزية الحضارة ونظرية الإقصاء</w:t>
      </w:r>
    </w:p>
    <w:p>
      <w:pPr>
        <w:pStyle w:val="rtlJustify"/>
      </w:pPr>
      <w:r>
        <w:rPr>
          <w:rFonts w:ascii="Traditional Arabic" w:hAnsi="Traditional Arabic" w:eastAsia="Traditional Arabic" w:cs="Traditional Arabic"/>
          <w:sz w:val="28"/>
          <w:szCs w:val="28"/>
          <w:rtl/>
        </w:rPr>
        <w:t xml:space="preserve">القدس بين سورة الإسراء ووعد الآخرة</w:t>
      </w:r>
    </w:p>
    <w:p>
      <w:pPr>
        <w:pStyle w:val="rtlJustify"/>
      </w:pPr>
      <w:r>
        <w:rPr>
          <w:rFonts w:ascii="Traditional Arabic" w:hAnsi="Traditional Arabic" w:eastAsia="Traditional Arabic" w:cs="Traditional Arabic"/>
          <w:sz w:val="28"/>
          <w:szCs w:val="28"/>
          <w:rtl/>
        </w:rPr>
        <w:t xml:space="preserve">القدس بين رؤيتين، هل تحسم النبوءات الصراع</w:t>
      </w:r>
    </w:p>
    <w:p>
      <w:pPr>
        <w:pStyle w:val="rtlJustify"/>
      </w:pPr>
      <w:r>
        <w:rPr>
          <w:rFonts w:ascii="Traditional Arabic" w:hAnsi="Traditional Arabic" w:eastAsia="Traditional Arabic" w:cs="Traditional Arabic"/>
          <w:sz w:val="28"/>
          <w:szCs w:val="28"/>
          <w:rtl/>
        </w:rPr>
        <w:t xml:space="preserve">الأماكن الإسلامية المقدسة حق المسلمين الضائع</w:t>
      </w:r>
    </w:p>
    <w:p>
      <w:pPr>
        <w:pStyle w:val="rtlJustify"/>
      </w:pPr>
      <w:r>
        <w:rPr>
          <w:rFonts w:ascii="Traditional Arabic" w:hAnsi="Traditional Arabic" w:eastAsia="Traditional Arabic" w:cs="Traditional Arabic"/>
          <w:sz w:val="28"/>
          <w:szCs w:val="28"/>
          <w:rtl/>
        </w:rPr>
        <w:t xml:space="preserve">الإنسان في ميزان القرآن</w:t>
      </w:r>
    </w:p>
    <w:p>
      <w:pPr>
        <w:pStyle w:val="rtlJustify"/>
      </w:pPr>
      <w:r>
        <w:rPr>
          <w:rFonts w:ascii="Traditional Arabic" w:hAnsi="Traditional Arabic" w:eastAsia="Traditional Arabic" w:cs="Traditional Arabic"/>
          <w:sz w:val="28"/>
          <w:szCs w:val="28"/>
          <w:rtl/>
        </w:rPr>
        <w:t xml:space="preserve">القرآن وحوار العقل</w:t>
      </w:r>
    </w:p>
    <w:p>
      <w:pPr>
        <w:pStyle w:val="rtlJustify"/>
      </w:pPr>
      <w:r>
        <w:rPr>
          <w:rFonts w:ascii="Traditional Arabic" w:hAnsi="Traditional Arabic" w:eastAsia="Traditional Arabic" w:cs="Traditional Arabic"/>
          <w:sz w:val="28"/>
          <w:szCs w:val="28"/>
          <w:rtl/>
        </w:rPr>
        <w:t xml:space="preserve">منهج التعارف الإنساني في الإسلام</w:t>
      </w:r>
    </w:p>
    <w:p>
      <w:pPr>
        <w:pStyle w:val="rtlJustify"/>
      </w:pPr>
      <w:r>
        <w:rPr>
          <w:rFonts w:ascii="Traditional Arabic" w:hAnsi="Traditional Arabic" w:eastAsia="Traditional Arabic" w:cs="Traditional Arabic"/>
          <w:sz w:val="28"/>
          <w:szCs w:val="28"/>
          <w:rtl/>
        </w:rPr>
        <w:t xml:space="preserve">موقف الإسلام من السحر والخرافة</w:t>
      </w:r>
    </w:p>
    <w:p>
      <w:pPr>
        <w:pStyle w:val="rtlJustify"/>
      </w:pPr>
      <w:r>
        <w:rPr>
          <w:rFonts w:ascii="Traditional Arabic" w:hAnsi="Traditional Arabic" w:eastAsia="Traditional Arabic" w:cs="Traditional Arabic"/>
          <w:sz w:val="28"/>
          <w:szCs w:val="28"/>
          <w:rtl/>
        </w:rPr>
        <w:t xml:space="preserve">عبدة الشيطان وحركات انحرافيه أخرى</w:t>
      </w:r>
    </w:p>
    <w:p>
      <w:pPr>
        <w:pStyle w:val="rtlJustify"/>
      </w:pPr>
      <w:r>
        <w:rPr>
          <w:rFonts w:ascii="Traditional Arabic" w:hAnsi="Traditional Arabic" w:eastAsia="Traditional Arabic" w:cs="Traditional Arabic"/>
          <w:sz w:val="28"/>
          <w:szCs w:val="28"/>
          <w:rtl/>
        </w:rPr>
        <w:t xml:space="preserve">منهج الجهاد القرآني</w:t>
      </w:r>
    </w:p>
    <w:p>
      <w:pPr>
        <w:pStyle w:val="rtlJustify"/>
      </w:pPr>
      <w:r>
        <w:rPr>
          <w:rFonts w:ascii="Traditional Arabic" w:hAnsi="Traditional Arabic" w:eastAsia="Traditional Arabic" w:cs="Traditional Arabic"/>
          <w:sz w:val="28"/>
          <w:szCs w:val="28"/>
          <w:rtl/>
        </w:rPr>
        <w:t xml:space="preserve">مولد محمد صلى الله عليه وسلم مفتاح التاريخ الإسلامي</w:t>
      </w:r>
    </w:p>
    <w:p>
      <w:pPr>
        <w:pStyle w:val="rtlJustify"/>
      </w:pPr>
      <w:r>
        <w:rPr>
          <w:rFonts w:ascii="Traditional Arabic" w:hAnsi="Traditional Arabic" w:eastAsia="Traditional Arabic" w:cs="Traditional Arabic"/>
          <w:sz w:val="28"/>
          <w:szCs w:val="28"/>
          <w:rtl/>
        </w:rPr>
        <w:t xml:space="preserve">التربية الصهيونية من عنصرية التوراة إلى دموية الاحتلال</w:t>
      </w:r>
    </w:p>
    <w:p>
      <w:pPr>
        <w:pStyle w:val="rtlJustify"/>
      </w:pPr>
      <w:r>
        <w:rPr>
          <w:rFonts w:ascii="Traditional Arabic" w:hAnsi="Traditional Arabic" w:eastAsia="Traditional Arabic" w:cs="Traditional Arabic"/>
          <w:sz w:val="28"/>
          <w:szCs w:val="28"/>
          <w:rtl/>
        </w:rPr>
        <w:t xml:space="preserve">الفكرة الصهيونية الأدب العنصري</w:t>
      </w:r>
    </w:p>
    <w:p>
      <w:pPr>
        <w:pStyle w:val="rtlJustify"/>
      </w:pPr>
      <w:r>
        <w:rPr>
          <w:rFonts w:ascii="Traditional Arabic" w:hAnsi="Traditional Arabic" w:eastAsia="Traditional Arabic" w:cs="Traditional Arabic"/>
          <w:sz w:val="28"/>
          <w:szCs w:val="28"/>
          <w:rtl/>
        </w:rPr>
        <w:t xml:space="preserve">برتوكولات صهيونية من التنظير إلى التدمير</w:t>
      </w:r>
    </w:p>
    <w:p>
      <w:pPr>
        <w:pStyle w:val="rtlJustify"/>
      </w:pPr>
      <w:r>
        <w:rPr>
          <w:rFonts w:ascii="Traditional Arabic" w:hAnsi="Traditional Arabic" w:eastAsia="Traditional Arabic" w:cs="Traditional Arabic"/>
          <w:sz w:val="28"/>
          <w:szCs w:val="28"/>
          <w:rtl/>
        </w:rPr>
        <w:t xml:space="preserve">العقائد الوثنية في الديانة اليهودية</w:t>
      </w:r>
    </w:p>
    <w:p>
      <w:pPr>
        <w:pStyle w:val="rtlJustify"/>
      </w:pPr>
      <w:r>
        <w:rPr>
          <w:rFonts w:ascii="Traditional Arabic" w:hAnsi="Traditional Arabic" w:eastAsia="Traditional Arabic" w:cs="Traditional Arabic"/>
          <w:sz w:val="28"/>
          <w:szCs w:val="28"/>
          <w:rtl/>
        </w:rPr>
        <w:t xml:space="preserve">العمليات الاستشهادية</w:t>
      </w:r>
    </w:p>
    <w:p>
      <w:pPr>
        <w:pStyle w:val="rtlJustify"/>
      </w:pPr>
      <w:r>
        <w:rPr>
          <w:rFonts w:ascii="Traditional Arabic" w:hAnsi="Traditional Arabic" w:eastAsia="Traditional Arabic" w:cs="Traditional Arabic"/>
          <w:sz w:val="28"/>
          <w:szCs w:val="28"/>
          <w:rtl/>
        </w:rPr>
        <w:t xml:space="preserve">عز الدين القسام شيخ المجاهدين</w:t>
      </w:r>
    </w:p>
    <w:p>
      <w:pPr>
        <w:pStyle w:val="rtlJustify"/>
      </w:pPr>
      <w:r>
        <w:rPr>
          <w:rFonts w:ascii="Traditional Arabic" w:hAnsi="Traditional Arabic" w:eastAsia="Traditional Arabic" w:cs="Traditional Arabic"/>
          <w:sz w:val="28"/>
          <w:szCs w:val="28"/>
          <w:rtl/>
        </w:rPr>
        <w:t xml:space="preserve">وفي التراث الشعبي</w:t>
      </w:r>
    </w:p>
    <w:p>
      <w:pPr>
        <w:pStyle w:val="rtlJustify"/>
      </w:pPr>
      <w:r>
        <w:rPr>
          <w:rFonts w:ascii="Traditional Arabic" w:hAnsi="Traditional Arabic" w:eastAsia="Traditional Arabic" w:cs="Traditional Arabic"/>
          <w:sz w:val="28"/>
          <w:szCs w:val="28"/>
          <w:rtl/>
        </w:rPr>
        <w:t xml:space="preserve">الاغنية الشعبية الفلسطينية</w:t>
      </w:r>
    </w:p>
    <w:p>
      <w:pPr>
        <w:pStyle w:val="rtlJustify"/>
      </w:pPr>
      <w:r>
        <w:rPr>
          <w:rFonts w:ascii="Traditional Arabic" w:hAnsi="Traditional Arabic" w:eastAsia="Traditional Arabic" w:cs="Traditional Arabic"/>
          <w:sz w:val="28"/>
          <w:szCs w:val="28"/>
          <w:rtl/>
        </w:rPr>
        <w:t xml:space="preserve">أغاني وألعاب الأطفال في التراث الشعبي</w:t>
      </w:r>
    </w:p>
    <w:p>
      <w:pPr>
        <w:pStyle w:val="rtlJustify"/>
      </w:pPr>
      <w:r>
        <w:rPr>
          <w:rFonts w:ascii="Traditional Arabic" w:hAnsi="Traditional Arabic" w:eastAsia="Traditional Arabic" w:cs="Traditional Arabic"/>
          <w:sz w:val="28"/>
          <w:szCs w:val="28"/>
          <w:rtl/>
        </w:rPr>
        <w:t xml:space="preserve">الميثولوجيا الكنعانية والاغتصاب التوراتي</w:t>
      </w:r>
    </w:p>
    <w:p>
      <w:pPr>
        <w:pStyle w:val="rtlJustify"/>
      </w:pPr>
      <w:r>
        <w:rPr>
          <w:rFonts w:ascii="Traditional Arabic" w:hAnsi="Traditional Arabic" w:eastAsia="Traditional Arabic" w:cs="Traditional Arabic"/>
          <w:sz w:val="28"/>
          <w:szCs w:val="28"/>
          <w:rtl/>
        </w:rPr>
        <w:t xml:space="preserve">المعتقدات الشعبية في التراث الشعبي</w:t>
      </w:r>
    </w:p>
    <w:p>
      <w:pPr>
        <w:pStyle w:val="rtlJustify"/>
      </w:pPr>
      <w:r>
        <w:rPr>
          <w:rFonts w:ascii="Traditional Arabic" w:hAnsi="Traditional Arabic" w:eastAsia="Traditional Arabic" w:cs="Traditional Arabic"/>
          <w:sz w:val="28"/>
          <w:szCs w:val="28"/>
          <w:rtl/>
        </w:rPr>
        <w:t xml:space="preserve">العرس الفلسطيني</w:t>
      </w:r>
    </w:p>
    <w:p>
      <w:pPr>
        <w:pStyle w:val="rtlJustify"/>
      </w:pPr>
      <w:r>
        <w:rPr>
          <w:rFonts w:ascii="Traditional Arabic" w:hAnsi="Traditional Arabic" w:eastAsia="Traditional Arabic" w:cs="Traditional Arabic"/>
          <w:sz w:val="28"/>
          <w:szCs w:val="28"/>
          <w:rtl/>
        </w:rPr>
        <w:t xml:space="preserve">اما أعمال شعرية فهي </w:t>
      </w:r>
    </w:p>
    <w:p>
      <w:pPr>
        <w:pStyle w:val="rtlJustify"/>
      </w:pPr>
      <w:r>
        <w:rPr>
          <w:rFonts w:ascii="Traditional Arabic" w:hAnsi="Traditional Arabic" w:eastAsia="Traditional Arabic" w:cs="Traditional Arabic"/>
          <w:sz w:val="28"/>
          <w:szCs w:val="28"/>
          <w:rtl/>
        </w:rPr>
        <w:t xml:space="preserve">من الجرح يبتدئ البرق (ديوان)</w:t>
      </w:r>
    </w:p>
    <w:p>
      <w:pPr>
        <w:pStyle w:val="rtlJustify"/>
      </w:pPr>
      <w:r>
        <w:rPr>
          <w:rFonts w:ascii="Traditional Arabic" w:hAnsi="Traditional Arabic" w:eastAsia="Traditional Arabic" w:cs="Traditional Arabic"/>
          <w:sz w:val="28"/>
          <w:szCs w:val="28"/>
          <w:rtl/>
        </w:rPr>
        <w:t xml:space="preserve">مسافر وزادي معي (ديوان)</w:t>
      </w:r>
    </w:p>
    <w:p>
      <w:pPr>
        <w:pStyle w:val="rtlJustify"/>
      </w:pPr>
      <w:r>
        <w:rPr>
          <w:rFonts w:ascii="Traditional Arabic" w:hAnsi="Traditional Arabic" w:eastAsia="Traditional Arabic" w:cs="Traditional Arabic"/>
          <w:sz w:val="28"/>
          <w:szCs w:val="28"/>
          <w:rtl/>
        </w:rPr>
        <w:t xml:space="preserve">له أكثر من خمسين قصيدة غنتها فرقة العاشقين في أربعة تسجيلات لها بعنوان: *العهد في رثاء الدكتور فتحي الشقاقي *أهازيج الدم والجهاد *ملحمة جنين *شهداءالخليل. وله ديوانان جاهزان للطباعة وفيهما قصيدة رثاء لنفسه كتبها قبل أيام من وفاته. ونال عدد من الجوائز والتكريمات ومنها ؛«جائزة القدس» المقدمة من الاتحاد العام للأدباء والكتاب العرب.جائزة القدس للفكر المقاوم عام 2000.</w:t>
      </w:r>
    </w:p>
    <w:p>
      <w:pPr>
        <w:pStyle w:val="rtlJustify"/>
      </w:pPr>
      <w:r>
        <w:rPr>
          <w:rFonts w:ascii="Traditional Arabic" w:hAnsi="Traditional Arabic" w:eastAsia="Traditional Arabic" w:cs="Traditional Arabic"/>
          <w:sz w:val="28"/>
          <w:szCs w:val="28"/>
          <w:rtl/>
        </w:rPr>
        <w:t xml:space="preserve">رحمك الله أخي الغالي الدكتور حسن الباش وستبقى حاضراً بيننا رغم غياب الجسد من خلال أعمالك البحثية المختلفة وأشعارك الوطنية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2025-12-23T11:51:43+00:00</dcterms:created>
  <dcterms:modified xsi:type="dcterms:W3CDTF">2025-12-23T11:51:43+00:00</dcterms:modified>
</cp:coreProperties>
</file>

<file path=docProps/custom.xml><?xml version="1.0" encoding="utf-8"?>
<Properties xmlns="http://schemas.openxmlformats.org/officeDocument/2006/custom-properties" xmlns:vt="http://schemas.openxmlformats.org/officeDocument/2006/docPropsVTypes"/>
</file>