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000" w:type="dxa"/>
        <w:gridCol w:w="6000" w:type="dxa"/>
      </w:tblGrid>
      <w:tblPr>
        <w:jc w:val="center"/>
        <w:tblW w:w="0" w:type="auto"/>
        <w:tblLayout w:type="autofit"/>
      </w:tblPr>
      <w:tr>
        <w:trPr/>
        <w:tc>
          <w:tcPr>
            <w:tcW w:w="3000" w:type="dxa"/>
            <w:noWrap/>
          </w:tcPr>
          <w:p>
            <w:pPr>
              <w:jc w:val="right"/>
            </w:pPr>
            <w:r>
              <w:pict>
                <v:shape type="#_x0000_t75" stroked="f" style="width:200pt; height:54.833040421793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000" w:type="dxa"/>
            <w:noWrap/>
          </w:tcPr>
          <w:p>
            <w:pPr>
              <w:jc w:val="right"/>
            </w:pPr>
            <w:r>
              <w:rPr>
                <w:rFonts w:ascii="Traditional Arabic" w:hAnsi="Traditional Arabic" w:eastAsia="Traditional Arabic" w:cs="Traditional Arabic"/>
                <w:sz w:val="32"/>
                <w:szCs w:val="32"/>
                <w:b w:val="1"/>
                <w:bCs w:val="1"/>
              </w:rPr>
              <w:t xml:space="preserve">موقع موسوعة القرى الفلسطينية</w:t>
            </w:r>
          </w:p>
        </w:tc>
      </w:tr>
    </w:tbl>
    <w:p>
      <w:pPr>
        <w:jc w:val="center"/>
      </w:pPr>
      <w:r>
        <w:pict>
          <v:shape id="_x0000_s1002" type="#_x0000_t32" style="width:500pt; height:0pt; margin-left:0pt; margin-top:0pt; mso-position-horizontal:left; mso-position-vertical:top; mso-position-horizontal-relative:char; mso-position-vertical-relative:line;">
            <w10:wrap type="inline"/>
            <v:stroke weight="1pt" color="000000"/>
          </v:shape>
        </w:pict>
      </w:r>
    </w:p>
    <w:p>
      <w:pPr>
        <w:jc w:val="center"/>
        <w:bidi/>
      </w:pPr>
      <w:r>
        <w:rPr>
          <w:rFonts w:ascii="Traditional Arabic" w:hAnsi="Traditional Arabic" w:eastAsia="Traditional Arabic" w:cs="Traditional Arabic"/>
          <w:sz w:val="36"/>
          <w:szCs w:val="36"/>
          <w:b w:val="1"/>
          <w:bCs w:val="1"/>
          <w:rtl/>
        </w:rPr>
        <w:t xml:space="preserve">الخُنَيْزِير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قرية فلسطينية مزالة، كانت قائمة في رقعة مستوية من الأرض، وكانت طريق تربطها بطريق بيسان-أريحا العام، كما كانت طرق فرعية أخرى تربطها بالقرى المجاورة، جنوبي مدينة بيسان وعلى مسافة 10 كم عنها، بانخفاض يصل إلى 200 م عن مستوى سطح البحر.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قدرت مساحة أراضيها بـ 3107 دونم.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على الأرجح أنها احتلت يوم الهجوم على قرية الفاتور المجاورة لها، حالها كحال مجمل قرى قضاء بيسان التي احتلت في سياق عملية "غديون" والتي نفذها جنود من "غولاني" و "الأرغون" عقب مهاجمة القرية وطرد أهلها منها يوم 20 أيار/مايو 1948 </w:t>
      </w:r>
    </w:p>
    <w:sectPr>
      <w:footerReference w:type="default" r:id="rId8"/>
      <w:pgSz w:orient="portrait" w:w="11905.511811023622" w:h="16837.79527559055"/>
      <w:pgMar w:top="800" w:right="800" w:bottom="800" w:left="8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5000" w:type="dxa"/>
      <w:gridCol w:w="5000" w:type="dxa"/>
    </w:tblGrid>
    <w:tblPr>
      <w:jc w:val="center"/>
      <w:tblW w:w="5000" w:type="auto"/>
      <w:tblLayout w:type="autofit"/>
    </w:tblPr>
    <w:tr>
      <w:trPr/>
      <w:tc>
        <w:tcPr>
          <w:tcW w:w="5000" w:type="dxa"/>
          <w:noWrap/>
        </w:tcPr>
        <w:p>
          <w:pPr>
            <w:jc w:val="start"/>
          </w:pPr>
          <w:r>
            <w:rPr>
              <w:rFonts w:ascii="Traditional Arabic" w:hAnsi="Traditional Arabic" w:eastAsia="Traditional Arabic" w:cs="Traditional Arabic"/>
              <w:sz w:val="24"/>
              <w:szCs w:val="24"/>
              <w:i w:val="1"/>
              <w:iCs w:val="1"/>
              <w:rtl/>
            </w:rPr>
            <w:t xml:space="preserve">https://palqura.com</w:t>
          </w:r>
        </w:p>
      </w:tc>
      <w:tc>
        <w:tcPr>
          <w:tcW w:w="5000" w:type="dxa"/>
          <w:noWrap/>
        </w:tcPr>
        <w:p>
          <w:pPr>
            <w:jc w:val="end"/>
          </w:pPr>
          <w:r>
            <w:fldChar w:fldCharType="begin"/>
          </w:r>
          <w:r>
            <w:rPr>
              <w:rFonts w:ascii="Traditional Arabic" w:hAnsi="Traditional Arabic" w:eastAsia="Traditional Arabic" w:cs="Traditional Arabic"/>
              <w:sz w:val="24"/>
              <w:szCs w:val="24"/>
            </w:rPr>
            <w:instrText xml:space="preserve">PAGE</w:instrText>
          </w:r>
          <w:r>
            <w:fldChar w:fldCharType="separate"/>
          </w:r>
          <w:r>
            <w:fldChar w:fldCharType="end"/>
          </w:r>
          <w:r>
            <w:rPr>
              <w:rFonts w:ascii="Traditional Arabic" w:hAnsi="Traditional Arabic" w:eastAsia="Traditional Arabic" w:cs="Traditional Arabic"/>
              <w:sz w:val="24"/>
              <w:szCs w:val="24"/>
            </w:rPr>
            <w:t xml:space="preserve"> / </w:t>
          </w:r>
          <w:r>
            <w:fldChar w:fldCharType="begin"/>
          </w:r>
          <w:r>
            <w:rPr>
              <w:rFonts w:ascii="Traditional Arabic" w:hAnsi="Traditional Arabic" w:eastAsia="Traditional Arabic" w:cs="Traditional Arabic"/>
              <w:sz w:val="24"/>
              <w:szCs w:val="24"/>
            </w:rPr>
            <w:instrText xml:space="preserve">NUMPAGES</w:instrText>
          </w:r>
          <w:r>
            <w:fldChar w:fldCharType="separate"/>
          </w:r>
          <w:r>
            <w:fldChar w:fldCharType="end"/>
          </w:r>
        </w:p>
      </w:tc>
    </w:tr>
  </w:tbl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ar-SA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raditional Arabic" w:hAnsi="Traditional Arabic" w:eastAsia="Traditional Arabic" w:cs="Traditional Arabic"/>
        <w:sz w:val="28"/>
        <w:szCs w:val="28"/>
        <w:lang w:val="ar-SA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rtlJustify">
    <w:name w:val="rtlJustify"/>
    <w:basedOn w:val="Normal"/>
    <w:pPr>
      <w:jc w:val="both"/>
      <w:bidi/>
      <w:spacing w:after="120"/>
    </w:pPr>
  </w:style>
  <w:style w:type="paragraph" w:customStyle="1" w:styleId="rtlCenter">
    <w:name w:val="rtlCenter"/>
    <w:basedOn w:val="Normal"/>
    <w:pPr>
      <w:jc w:val="both"/>
      <w:bidi/>
      <w:spacing w:after="120"/>
    </w:pPr>
  </w:style>
  <w:style w:type="paragraph" w:styleId="Heading1">
    <w:link w:val="Heading1Char"/>
    <w:name w:val="heading 1"/>
    <w:basedOn w:val="Normal"/>
    <w:pPr>
      <w:jc w:val="end"/>
    </w:pPr>
    <w:rPr>
      <w:rFonts w:ascii="Traditional Arabic" w:hAnsi="Traditional Arabic" w:eastAsia="Traditional Arabic" w:cs="Traditional Arabic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end"/>
    </w:pPr>
    <w:rPr>
      <w:rFonts w:ascii="Traditional Arabic" w:hAnsi="Traditional Arabic" w:eastAsia="Traditional Arabic" w:cs="Traditional Arabic"/>
      <w:sz w:val="30"/>
      <w:szCs w:val="30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2026-09-28T12:33:50+00:00</dcterms:created>
  <dcterms:modified xsi:type="dcterms:W3CDTF">2026-09-28T12:33:50+00:00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