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الطبيب الثائر</w:t>
      </w:r>
    </w:p>
    <w:p>
      <w:pPr>
        <w:pStyle w:val="rtlJustify"/>
      </w:pPr>
      <w:r>
        <w:rPr>
          <w:rFonts w:ascii="Traditional Arabic" w:hAnsi="Traditional Arabic" w:eastAsia="Traditional Arabic" w:cs="Traditional Arabic"/>
          <w:sz w:val="28"/>
          <w:szCs w:val="28"/>
          <w:rtl/>
        </w:rPr>
        <w:t xml:space="preserve">كان يمتلك البيت والرصيف وناصية الشارع ويقف بسيارتة الحديثة  التي كان لها دوراً هاماً في ثوره فلسطين الكبرى حيث أنه كان ينقل الثوار سراً بسيارته الخاصة  .. الطبيب حمدي التاجي أمام عيادتة في يافا عام ١٩٣٥</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2026-07-19T08:39:49+00:00</dcterms:created>
  <dcterms:modified xsi:type="dcterms:W3CDTF">2026-07-19T08:39:49+00:00</dcterms:modified>
</cp:coreProperties>
</file>

<file path=docProps/custom.xml><?xml version="1.0" encoding="utf-8"?>
<Properties xmlns="http://schemas.openxmlformats.org/officeDocument/2006/custom-properties" xmlns:vt="http://schemas.openxmlformats.org/officeDocument/2006/docPropsVTypes"/>
</file>