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النَّاعِمَة</w:t>
      </w:r>
    </w:p>
    <w:p>
      <w:pPr>
        <w:pStyle w:val="rtlJustify"/>
      </w:pPr>
      <w:r>
        <w:rPr>
          <w:rFonts w:ascii="Traditional Arabic" w:hAnsi="Traditional Arabic" w:eastAsia="Traditional Arabic" w:cs="Traditional Arabic"/>
          <w:sz w:val="28"/>
          <w:szCs w:val="28"/>
          <w:rtl/>
        </w:rPr>
        <w:t xml:space="preserve">قرية فلسطينية مزالة، كانت قائمة فوق رقعة مستوية من الأرض، في الشطر الشمالي الغربي من سهل الحولة، شمال شرقي مدينة صفد وعلى مسافة 26 كم عنها، بارتفاع يبلغ 75م عن مستوى سطح البحر.</w:t>
      </w:r>
    </w:p>
    <w:p>
      <w:pPr>
        <w:pStyle w:val="rtlJustify"/>
      </w:pPr>
      <w:r>
        <w:rPr>
          <w:rFonts w:ascii="Traditional Arabic" w:hAnsi="Traditional Arabic" w:eastAsia="Traditional Arabic" w:cs="Traditional Arabic"/>
          <w:sz w:val="28"/>
          <w:szCs w:val="28"/>
          <w:rtl/>
        </w:rPr>
        <w:t xml:space="preserve">قُدِرت مساحة أراضي القرية بـ 7155 دنم، شغلت منازل وأبنية القرية ما مساحته 112 دونم.</w:t>
      </w:r>
    </w:p>
    <w:p>
      <w:pPr>
        <w:pStyle w:val="rtlJustify"/>
      </w:pPr>
      <w:r>
        <w:rPr>
          <w:rFonts w:ascii="Traditional Arabic" w:hAnsi="Traditional Arabic" w:eastAsia="Traditional Arabic" w:cs="Traditional Arabic"/>
          <w:sz w:val="28"/>
          <w:szCs w:val="28"/>
          <w:rtl/>
        </w:rPr>
        <w:t xml:space="preserve">احتلت الناعمة مع جملة ما احتل من القرى في سياق عملية "يفتاح" وذلك يوم 11 أيار/ مايو 1948.</w:t>
      </w:r>
    </w:p>
    <w:p/>
    <w:p>
      <w:pPr>
        <w:pStyle w:val="Heading2"/>
      </w:pPr>
      <w:bookmarkStart w:id="0" w:name="_Toc0"/>
      <w:r>
        <w:t>الحدود</w:t>
      </w:r>
      <w:bookmarkEnd w:id="0"/>
    </w:p>
    <w:p>
      <w:pPr>
        <w:pStyle w:val="rtlJustify"/>
      </w:pPr>
      <w:r>
        <w:rPr>
          <w:rFonts w:ascii="Traditional Arabic" w:hAnsi="Traditional Arabic" w:eastAsia="Traditional Arabic" w:cs="Traditional Arabic"/>
          <w:sz w:val="28"/>
          <w:szCs w:val="28"/>
          <w:rtl/>
        </w:rPr>
        <w:t xml:space="preserve">كانت قرية الناعمة تتوسط القرى والبلدات التالية:</w:t>
      </w:r>
    </w:p>
    <w:p>
      <w:pPr>
        <w:pStyle w:val="rtlJustify"/>
      </w:pPr>
      <w:r>
        <w:rPr>
          <w:rFonts w:ascii="Traditional Arabic" w:hAnsi="Traditional Arabic" w:eastAsia="Traditional Arabic" w:cs="Traditional Arabic"/>
          <w:sz w:val="28"/>
          <w:szCs w:val="28"/>
          <w:rtl/>
        </w:rPr>
        <w:t xml:space="preserve">قرية الزوق التحتاني شمالاً.قرية لزازة تليها قرية قيطية من الشمال الشرقي.قرية الدوارة شرقاً.قرية الصالحية من الجنوب الشرقي.قرية الزواية/ الزوية جنوباً.قرية البويزية من الجنوب الغربي.الأراضي اللبنانية غرباً.قرية الخالصة من الشمال الغربي.</w:t>
      </w:r>
    </w:p>
    <w:p/>
    <w:p>
      <w:pPr>
        <w:pStyle w:val="Heading2"/>
      </w:pPr>
      <w:bookmarkStart w:id="1" w:name="_Toc1"/>
      <w:r>
        <w:t>الحياة الاقتصادية</w:t>
      </w:r>
      <w:bookmarkEnd w:id="1"/>
    </w:p>
    <w:p>
      <w:pPr>
        <w:pStyle w:val="rtlJustify"/>
      </w:pPr>
      <w:r>
        <w:rPr>
          <w:rFonts w:ascii="Traditional Arabic" w:hAnsi="Traditional Arabic" w:eastAsia="Traditional Arabic" w:cs="Traditional Arabic"/>
          <w:sz w:val="28"/>
          <w:szCs w:val="28"/>
          <w:rtl/>
        </w:rPr>
        <w:t xml:space="preserve">اعتمد اقتصاد القرية على عائدات ممارسة بعض الأنشطة الاقتصادية أهمها الزراعة، تربية الماشية، عمليات التبادل التجاري مع القرى والبلدات المجاورة، خصوصاً وأنها كانت على مقربة كبيرة جداً من الأراضي اللبنانية.</w:t>
      </w:r>
    </w:p>
    <w:p/>
    <w:p>
      <w:pPr>
        <w:pStyle w:val="Heading2"/>
      </w:pPr>
      <w:bookmarkStart w:id="2" w:name="_Toc2"/>
      <w:r>
        <w:t>الثروة الزراعية</w:t>
      </w:r>
      <w:bookmarkEnd w:id="2"/>
    </w:p>
    <w:p>
      <w:pPr>
        <w:pStyle w:val="rtlJustify"/>
      </w:pPr>
      <w:r>
        <w:rPr>
          <w:rFonts w:ascii="Traditional Arabic" w:hAnsi="Traditional Arabic" w:eastAsia="Traditional Arabic" w:cs="Traditional Arabic"/>
          <w:sz w:val="28"/>
          <w:szCs w:val="28"/>
          <w:rtl/>
        </w:rPr>
        <w:t xml:space="preserve">قدرت مساحة أراضي القرية الصالحة للزراعة بـ 4278 دونم، توزعت كالتالي:</w:t>
      </w:r>
    </w:p>
    <w:p>
      <w:pPr>
        <w:pStyle w:val="rtlJustify"/>
      </w:pPr>
      <w:r>
        <w:rPr>
          <w:rFonts w:ascii="Traditional Arabic" w:hAnsi="Traditional Arabic" w:eastAsia="Traditional Arabic" w:cs="Traditional Arabic"/>
          <w:sz w:val="28"/>
          <w:szCs w:val="28"/>
          <w:rtl/>
        </w:rPr>
        <w:t xml:space="preserve">4122 دونم: خصصت لزراعة البساتين المروية.</w:t>
      </w:r>
    </w:p>
    <w:p>
      <w:pPr>
        <w:pStyle w:val="rtlJustify"/>
      </w:pPr>
      <w:r>
        <w:rPr>
          <w:rFonts w:ascii="Traditional Arabic" w:hAnsi="Traditional Arabic" w:eastAsia="Traditional Arabic" w:cs="Traditional Arabic"/>
          <w:sz w:val="28"/>
          <w:szCs w:val="28"/>
          <w:rtl/>
        </w:rPr>
        <w:t xml:space="preserve">156 دونم: خصصت لزراعة الحبوب.</w:t>
      </w:r>
    </w:p>
    <w:p>
      <w:pPr>
        <w:pStyle w:val="rtlJustify"/>
      </w:pPr>
      <w:r>
        <w:rPr>
          <w:rFonts w:ascii="Traditional Arabic" w:hAnsi="Traditional Arabic" w:eastAsia="Traditional Arabic" w:cs="Traditional Arabic"/>
          <w:sz w:val="28"/>
          <w:szCs w:val="28"/>
          <w:rtl/>
        </w:rPr>
        <w:t xml:space="preserve">وقد تنوعت المحاصيل المزروعة في أراضي القرية </w:t>
      </w:r>
    </w:p>
    <w:p>
      <w:pPr>
        <w:pStyle w:val="rtlJustify"/>
      </w:pPr>
      <w:r>
        <w:rPr>
          <w:rFonts w:ascii="Traditional Arabic" w:hAnsi="Traditional Arabic" w:eastAsia="Traditional Arabic" w:cs="Traditional Arabic"/>
          <w:sz w:val="28"/>
          <w:szCs w:val="28"/>
          <w:rtl/>
        </w:rPr>
        <w:t xml:space="preserve">الحبوب: قمح، شعير، ...الخ</w:t>
      </w:r>
    </w:p>
    <w:p>
      <w:pPr>
        <w:pStyle w:val="rtlJustify"/>
      </w:pPr>
      <w:r>
        <w:rPr>
          <w:rFonts w:ascii="Traditional Arabic" w:hAnsi="Traditional Arabic" w:eastAsia="Traditional Arabic" w:cs="Traditional Arabic"/>
          <w:sz w:val="28"/>
          <w:szCs w:val="28"/>
          <w:rtl/>
        </w:rPr>
        <w:t xml:space="preserve">الخضراوات: كوسا، خيار، بندورة، باذنجان وغيرها من المحاصيل.</w:t>
      </w:r>
    </w:p>
    <w:p/>
    <w:p>
      <w:pPr>
        <w:pStyle w:val="Heading2"/>
      </w:pPr>
      <w:bookmarkStart w:id="3" w:name="_Toc3"/>
      <w:r>
        <w:t>الطرق والمواصلات</w:t>
      </w:r>
      <w:bookmarkEnd w:id="3"/>
    </w:p>
    <w:p>
      <w:pPr>
        <w:pStyle w:val="rtlJustify"/>
      </w:pPr>
      <w:r>
        <w:rPr>
          <w:rFonts w:ascii="Traditional Arabic" w:hAnsi="Traditional Arabic" w:eastAsia="Traditional Arabic" w:cs="Traditional Arabic"/>
          <w:sz w:val="28"/>
          <w:szCs w:val="28"/>
          <w:rtl/>
        </w:rPr>
        <w:t xml:space="preserve">كانت هناك طريق فرعية معبدة تصلها بقرية الخالصة، وبالطريق العام المفضي إلى مدينتي صفد وطبرية. </w:t>
      </w:r>
    </w:p>
    <w:p>
      <w:pPr>
        <w:pStyle w:val="rtlJustify"/>
      </w:pPr>
      <w:r>
        <w:rPr>
          <w:rFonts w:ascii="Traditional Arabic" w:hAnsi="Traditional Arabic" w:eastAsia="Traditional Arabic" w:cs="Traditional Arabic"/>
          <w:sz w:val="28"/>
          <w:szCs w:val="28"/>
          <w:rtl/>
        </w:rPr>
        <w:t xml:space="preserve">أما باقي الطرق التي تربط القرية بالقرى الأخرى فهي ترابية غير معبدة.</w:t>
      </w:r>
    </w:p>
    <w:p/>
    <w:p>
      <w:pPr>
        <w:pStyle w:val="Heading2"/>
      </w:pPr>
      <w:bookmarkStart w:id="4" w:name="_Toc4"/>
      <w:r>
        <w:t>السكان</w:t>
      </w:r>
      <w:bookmarkEnd w:id="4"/>
    </w:p>
    <w:p>
      <w:pPr>
        <w:pStyle w:val="rtlJustify"/>
      </w:pPr>
      <w:r>
        <w:rPr>
          <w:rFonts w:ascii="Traditional Arabic" w:hAnsi="Traditional Arabic" w:eastAsia="Traditional Arabic" w:cs="Traditional Arabic"/>
          <w:sz w:val="28"/>
          <w:szCs w:val="28"/>
          <w:rtl/>
        </w:rPr>
        <w:t xml:space="preserve">قُدِر عدد سكان الناعمة عام 1931 بـ 858 نسمة كانوا جميعهم من العرب المسلمين ولهم 174 منزلاً.</w:t>
      </w:r>
    </w:p>
    <w:p>
      <w:pPr>
        <w:pStyle w:val="rtlJustify"/>
      </w:pPr>
      <w:r>
        <w:rPr>
          <w:rFonts w:ascii="Traditional Arabic" w:hAnsi="Traditional Arabic" w:eastAsia="Traditional Arabic" w:cs="Traditional Arabic"/>
          <w:sz w:val="28"/>
          <w:szCs w:val="28"/>
          <w:rtl/>
        </w:rPr>
        <w:t xml:space="preserve">ارتفع عددهم في إحصائيات عام 1945 إلى 1240 نسمة من بينهم 210 يهودي.</w:t>
      </w:r>
    </w:p>
    <w:p>
      <w:pPr>
        <w:pStyle w:val="rtlJustify"/>
      </w:pPr>
      <w:r>
        <w:rPr>
          <w:rFonts w:ascii="Traditional Arabic" w:hAnsi="Traditional Arabic" w:eastAsia="Traditional Arabic" w:cs="Traditional Arabic"/>
          <w:sz w:val="28"/>
          <w:szCs w:val="28"/>
          <w:rtl/>
        </w:rPr>
        <w:t xml:space="preserve">وفي عام 1948 انخفض عددهم إلى 1195 نسمة منهم 210 يهودي، ولهم 242 منزلاً.</w:t>
      </w:r>
    </w:p>
    <w:p>
      <w:pPr>
        <w:pStyle w:val="rtlJustify"/>
      </w:pPr>
      <w:r>
        <w:rPr>
          <w:rFonts w:ascii="Traditional Arabic" w:hAnsi="Traditional Arabic" w:eastAsia="Traditional Arabic" w:cs="Traditional Arabic"/>
          <w:sz w:val="28"/>
          <w:szCs w:val="28"/>
          <w:rtl/>
        </w:rPr>
        <w:t xml:space="preserve">قدر عدد اللاجئين من أبناء القرية عام 1998بـ 7337 نسمة.</w:t>
      </w:r>
    </w:p>
    <w:p/>
    <w:p>
      <w:pPr>
        <w:pStyle w:val="Heading2"/>
      </w:pPr>
      <w:bookmarkStart w:id="5" w:name="_Toc5"/>
      <w:r>
        <w:t>عائلات القرية وعشائرها</w:t>
      </w:r>
      <w:bookmarkEnd w:id="5"/>
    </w:p>
    <w:p>
      <w:pPr>
        <w:pStyle w:val="rtlJustify"/>
      </w:pPr>
      <w:r>
        <w:rPr>
          <w:rFonts w:ascii="Traditional Arabic" w:hAnsi="Traditional Arabic" w:eastAsia="Traditional Arabic" w:cs="Traditional Arabic"/>
          <w:sz w:val="28"/>
          <w:szCs w:val="28"/>
          <w:rtl/>
        </w:rPr>
        <w:t xml:space="preserve">من عائلات القرية:</w:t>
      </w:r>
    </w:p>
    <w:p>
      <w:pPr>
        <w:pStyle w:val="rtlJustify"/>
      </w:pPr>
      <w:r>
        <w:rPr>
          <w:rFonts w:ascii="Traditional Arabic" w:hAnsi="Traditional Arabic" w:eastAsia="Traditional Arabic" w:cs="Traditional Arabic"/>
          <w:sz w:val="28"/>
          <w:szCs w:val="28"/>
          <w:rtl/>
        </w:rPr>
        <w:t xml:space="preserve">عائلة أيوب- موسى.عائلة سليمان.عائلة حمود.عائلة شبلي.عائلة مرعي.عائلة مصطفى- معتوق.عائلة حجاج.عائلة المحمد.عائلة اليوسف.عائلة خضير.عائلة الجراد- العبسية.عائلة رحيل.عائلة دخلول.عائلة عبد الرزاق.عائلة نمر.عائلة العلي.عائلة مشيرفة.عائلة علي.عائلة سعد.عائلة الجرايدة.عائلة حمد.عائلة دحويش.عائلة الصالح.عائلة السعيد- المرعي.عائلة الحسن.عائلة أميوني.عائلة الصغير.</w:t>
      </w:r>
    </w:p>
    <w:p/>
    <w:p>
      <w:pPr>
        <w:pStyle w:val="Heading2"/>
      </w:pPr>
      <w:bookmarkStart w:id="6" w:name="_Toc6"/>
      <w:r>
        <w:t>الباحث والمراجع</w:t>
      </w:r>
      <w:bookmarkEnd w:id="6"/>
    </w:p>
    <w:p>
      <w:pPr>
        <w:pStyle w:val="rtlJustify"/>
      </w:pPr>
      <w:r>
        <w:rPr>
          <w:rFonts w:ascii="Traditional Arabic" w:hAnsi="Traditional Arabic" w:eastAsia="Traditional Arabic" w:cs="Traditional Arabic"/>
          <w:sz w:val="28"/>
          <w:szCs w:val="28"/>
          <w:rtl/>
        </w:rPr>
        <w:t xml:space="preserve">إعداد: رشا السهلي، استناداً للمراجع التالية:</w:t>
      </w:r>
    </w:p>
    <w:p>
      <w:pPr>
        <w:pStyle w:val="rtlJustify"/>
      </w:pPr>
      <w:r>
        <w:rPr>
          <w:rFonts w:ascii="Traditional Arabic" w:hAnsi="Traditional Arabic" w:eastAsia="Traditional Arabic" w:cs="Traditional Arabic"/>
          <w:sz w:val="28"/>
          <w:szCs w:val="28"/>
          <w:rtl/>
        </w:rPr>
        <w:t xml:space="preserve">الدباغ، مصطفى. "بلادنا فلسطين- الجزء الأول- القسم الأول". دار الهدى. كفر قرع. ط 1991. ص: 163.دباغ، مصطفى. "بلادنا فلسطين- الجزء السادس- القسم الثاني". دار الهدى. كفر قرع. ط 1991. ص: 31- 32- 36- 46- 71- 150- 153- 154- 155- 156- 157- 158- 161- 247- 253.عراف، شكري. "المواقع الجغرافية في فلسطين الأسماء العربية والتسميات العبرية". مؤسسة الدراسات الفلسطينية: بيروت. 2004. ص: 508.الخالدي، وليد. "كي لاننسى قرى فلسطين التي دمرتها إسرائيل عام 1948 وأسماء شهدائها". مؤسسة الدراسات الفلسطينية: بيروت. 2001. ص: 375- 376.أ.ملز B.A.O.B.B. "إحصاء نفوس فلسطين لسنة 1931". (1932). القدس: مطبعتي دير الروم كولدبرك. ص: 109."إحصاء نفوس فلسطين عام 1945". وثيقة رسمية بريطانية. 1945. ص: 10."قرى صفد المدمرة". وكالة وفا للأنباء والمعلومات. ب.ت. ص: 83- 84.صايغ، أنيس. "بلدانية فلسطين المحلتة (1948-1967)". منظمة التحرير الفلسطينية- مركز الأبحاث: بيروت. 1968. ص: 323.العباسي، مصطفى. "صفد في عهد الانتداب البريطاني 1917-1948 دراسة اجتماعية وسياسية". مؤسسة الدراسات الفلسطينية: بيروت. ط1. 2005. ص: 212- 241- 252."قرية الناعمة- قضاء صفد". موقع فلسطين في الذاكرة. تمت المشاهدة بتاريخ: 12-6-2023.</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2026-09-23T08:57:10+00:00</dcterms:created>
  <dcterms:modified xsi:type="dcterms:W3CDTF">2026-09-23T08:57:10+00:00</dcterms:modified>
</cp:coreProperties>
</file>

<file path=docProps/custom.xml><?xml version="1.0" encoding="utf-8"?>
<Properties xmlns="http://schemas.openxmlformats.org/officeDocument/2006/custom-properties" xmlns:vt="http://schemas.openxmlformats.org/officeDocument/2006/docPropsVTypes"/>
</file>