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خربة المنصورة</w:t>
      </w:r>
    </w:p>
    <w:p>
      <w:pPr>
        <w:pStyle w:val="rtlJustify"/>
      </w:pPr>
      <w:r>
        <w:rPr>
          <w:rFonts w:ascii="Traditional Arabic" w:hAnsi="Traditional Arabic" w:eastAsia="Traditional Arabic" w:cs="Traditional Arabic"/>
          <w:sz w:val="28"/>
          <w:szCs w:val="28"/>
          <w:rtl/>
        </w:rPr>
        <w:t xml:space="preserve">..</w:t>
      </w:r>
    </w:p>
    <w:p/>
    <w:p>
      <w:pPr>
        <w:pStyle w:val="Heading2"/>
      </w:pPr>
      <w:bookmarkStart w:id="0" w:name="_Toc0"/>
      <w:r>
        <w:t>الآثار</w:t>
      </w:r>
      <w:bookmarkEnd w:id="0"/>
    </w:p>
    <w:p>
      <w:pPr>
        <w:pStyle w:val="rtlJustify"/>
      </w:pPr>
      <w:r>
        <w:rPr>
          <w:rFonts w:ascii="Traditional Arabic" w:hAnsi="Traditional Arabic" w:eastAsia="Traditional Arabic" w:cs="Traditional Arabic"/>
          <w:sz w:val="28"/>
          <w:szCs w:val="28"/>
          <w:rtl/>
        </w:rPr>
        <w:t xml:space="preserve">تحتوي خربة المنصورة على أساسات حجارة ساقطة،صهريج ،بئر، مدافن منقورة في الصخر.</w:t>
      </w:r>
    </w:p>
    <w:p/>
    <w:p>
      <w:pPr>
        <w:pStyle w:val="Heading2"/>
      </w:pPr>
      <w:bookmarkStart w:id="1" w:name="_Toc1"/>
      <w:r>
        <w:t>الموقع والمساحة</w:t>
      </w:r>
      <w:bookmarkEnd w:id="1"/>
    </w:p>
    <w:p>
      <w:pPr>
        <w:pStyle w:val="rtlJustify"/>
      </w:pPr>
      <w:r>
        <w:rPr>
          <w:rFonts w:ascii="Traditional Arabic" w:hAnsi="Traditional Arabic" w:eastAsia="Traditional Arabic" w:cs="Traditional Arabic"/>
          <w:sz w:val="28"/>
          <w:szCs w:val="28"/>
          <w:rtl/>
        </w:rPr>
        <w:t xml:space="preserve">خربة المنصورة قرية فلسطينيّة مهجّرة، تقع إلى الجنوب الشرقي من حيفا على بعد 18.5 كم، وترتفع 100 م عن سطح البحر.</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بلغ عدد السكان في خربة المنصورة عام 1948 م ما يقارب من 223 نسمة.</w:t>
      </w:r>
    </w:p>
    <w:p>
      <w:pPr>
        <w:pStyle w:val="rtlJustify"/>
      </w:pPr>
      <w:r>
        <w:rPr>
          <w:rFonts w:ascii="Traditional Arabic" w:hAnsi="Traditional Arabic" w:eastAsia="Traditional Arabic" w:cs="Traditional Arabic"/>
          <w:sz w:val="28"/>
          <w:szCs w:val="28"/>
          <w:rtl/>
        </w:rPr>
        <w:t xml:space="preserve">-يبلغ مجموع اللاجئين من هذه القرية في عام 1998م (1368) نسمة.</w:t>
      </w:r>
    </w:p>
    <w:p/>
    <w:p>
      <w:pPr>
        <w:pStyle w:val="Heading2"/>
      </w:pPr>
      <w:bookmarkStart w:id="3" w:name="_Toc3"/>
      <w:r>
        <w:t>القرية اليوم</w:t>
      </w:r>
      <w:bookmarkEnd w:id="3"/>
    </w:p>
    <w:p>
      <w:pPr>
        <w:pStyle w:val="rtlJustify"/>
      </w:pPr>
      <w:r>
        <w:rPr>
          <w:rFonts w:ascii="Traditional Arabic" w:hAnsi="Traditional Arabic" w:eastAsia="Traditional Arabic" w:cs="Traditional Arabic"/>
          <w:sz w:val="28"/>
          <w:szCs w:val="28"/>
          <w:rtl/>
        </w:rPr>
        <w:t xml:space="preserve">-لم يبق أي أثر لمنازلها. </w:t>
      </w:r>
    </w:p>
    <w:p>
      <w:pPr>
        <w:pStyle w:val="rtlJustify"/>
      </w:pPr>
      <w:r>
        <w:rPr>
          <w:rFonts w:ascii="Traditional Arabic" w:hAnsi="Traditional Arabic" w:eastAsia="Traditional Arabic" w:cs="Traditional Arabic"/>
          <w:sz w:val="28"/>
          <w:szCs w:val="28"/>
          <w:rtl/>
        </w:rPr>
        <w:t xml:space="preserve">-دُمجت أراضي القرية مع أراضي بلدة دالية الكرمل.</w:t>
      </w:r>
    </w:p>
    <w:p>
      <w:pPr>
        <w:pStyle w:val="rtlJustify"/>
      </w:pPr>
      <w:r>
        <w:rPr>
          <w:rFonts w:ascii="Traditional Arabic" w:hAnsi="Traditional Arabic" w:eastAsia="Traditional Arabic" w:cs="Traditional Arabic"/>
          <w:sz w:val="28"/>
          <w:szCs w:val="28"/>
          <w:rtl/>
        </w:rPr>
        <w:t xml:space="preserve">-وبنيت مخازن للحبوب على بعد 200 متر جنوبي الموقع.</w:t>
      </w:r>
    </w:p>
    <w:p/>
    <w:p>
      <w:pPr>
        <w:pStyle w:val="Heading2"/>
      </w:pPr>
      <w:bookmarkStart w:id="4" w:name="_Toc4"/>
      <w:r>
        <w:t>تاريخ القرية</w:t>
      </w:r>
      <w:bookmarkEnd w:id="4"/>
    </w:p>
    <w:p>
      <w:pPr>
        <w:pStyle w:val="rtlJustify"/>
      </w:pPr>
      <w:r>
        <w:rPr>
          <w:rFonts w:ascii="Traditional Arabic" w:hAnsi="Traditional Arabic" w:eastAsia="Traditional Arabic" w:cs="Traditional Arabic"/>
          <w:sz w:val="28"/>
          <w:szCs w:val="28"/>
          <w:rtl/>
        </w:rPr>
        <w:t xml:space="preserve">- صُنّفت خربة المنصورة مزرعة في «معجم فلسطين الجغرافي المفهرس».</w:t>
      </w:r>
    </w:p>
    <w:p>
      <w:pPr>
        <w:pStyle w:val="rtlJustify"/>
      </w:pPr>
      <w:r>
        <w:rPr>
          <w:rFonts w:ascii="Traditional Arabic" w:hAnsi="Traditional Arabic" w:eastAsia="Traditional Arabic" w:cs="Traditional Arabic"/>
          <w:sz w:val="28"/>
          <w:szCs w:val="28"/>
          <w:rtl/>
        </w:rPr>
        <w:t xml:space="preserve"> كان معظم سكان القرية من الطائفة الدرزية. </w:t>
      </w:r>
    </w:p>
    <w:p>
      <w:pPr>
        <w:pStyle w:val="rtlJustify"/>
      </w:pPr>
      <w:r>
        <w:rPr>
          <w:rFonts w:ascii="Traditional Arabic" w:hAnsi="Traditional Arabic" w:eastAsia="Traditional Arabic" w:cs="Traditional Arabic"/>
          <w:sz w:val="28"/>
          <w:szCs w:val="28"/>
          <w:rtl/>
        </w:rPr>
        <w:t xml:space="preserve">ويظهر قدم القرية في أبنيتها والقبور المنحوتة في الصخر داخل موقع القرية وخارجه.</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إبراهيم منصور ابن حيفا</w:t>
      </w:r>
    </w:p>
    <w:p>
      <w:pPr>
        <w:pStyle w:val="rtlJustify"/>
      </w:pPr>
      <w:r>
        <w:rPr>
          <w:rFonts w:ascii="Traditional Arabic" w:hAnsi="Traditional Arabic" w:eastAsia="Traditional Arabic" w:cs="Traditional Arabic"/>
          <w:sz w:val="28"/>
          <w:szCs w:val="28"/>
          <w:rtl/>
        </w:rPr>
        <w:t xml:space="preserve">قائمة المراجع:</w:t>
      </w:r>
    </w:p>
    <w:p>
      <w:pPr>
        <w:pStyle w:val="rtlJustify"/>
      </w:pPr>
      <w:r>
        <w:rPr>
          <w:rFonts w:ascii="Traditional Arabic" w:hAnsi="Traditional Arabic" w:eastAsia="Traditional Arabic" w:cs="Traditional Arabic"/>
          <w:sz w:val="28"/>
          <w:szCs w:val="28"/>
          <w:rtl/>
        </w:rPr>
        <w:t xml:space="preserve">- كي لا ننسى لوليد الخالدي.</w:t>
      </w:r>
    </w:p>
    <w:p>
      <w:pPr>
        <w:pStyle w:val="rtlJustify"/>
      </w:pPr>
      <w:r>
        <w:rPr>
          <w:rFonts w:ascii="Traditional Arabic" w:hAnsi="Traditional Arabic" w:eastAsia="Traditional Arabic" w:cs="Traditional Arabic"/>
          <w:sz w:val="28"/>
          <w:szCs w:val="28"/>
          <w:rtl/>
        </w:rPr>
        <w:t xml:space="preserve">-بلادنا فلسطين لمصطفى مراد الدباغ.</w:t>
      </w:r>
    </w:p>
    <w:p/>
    <w:p>
      <w:pPr>
        <w:pStyle w:val="Heading2"/>
      </w:pPr>
      <w:bookmarkStart w:id="6" w:name="_Toc6"/>
      <w:r>
        <w:t>احتلال القرية</w:t>
      </w:r>
      <w:bookmarkEnd w:id="6"/>
    </w:p>
    <w:p>
      <w:pPr>
        <w:pStyle w:val="rtlJustify"/>
      </w:pPr>
      <w:r>
        <w:rPr>
          <w:rFonts w:ascii="Traditional Arabic" w:hAnsi="Traditional Arabic" w:eastAsia="Traditional Arabic" w:cs="Traditional Arabic"/>
          <w:sz w:val="28"/>
          <w:szCs w:val="28"/>
          <w:rtl/>
        </w:rPr>
        <w:t xml:space="preserve">احتُلت قرى هذه المنطقة، في معظمها، عقب سقوط حيفا. و الأرجح أن خربة المنصورة لم تشذّ عن ذلك؛ ومن الجائز أن تكون سقطت نتيجة هجوم شنته الهاغاناه في إطار عملية بيعور حَميتس (التطهير في الفصح)، التي كانت جزءاً من عملية مسباراييم (المقص) الأوسع نطاقاً، والتي صممت لشق قطاع حيفا العربي إلى قسمين. بدأت عملية بيعور حَميتس في 24 نيسان 1948، بعد يومين من سقوط حيفا، ورافقتها عمليات هجومية على قرية بلد الشيخ الواقعة على بعد 10 كلم شمالي غربي خربة المنصورة. واستمرت العملية ثلاثة أيام، انتشرت في أثنائها وحدات الهاغاناه لاحتلال المنطقة الخلفية لحيفا، تعزيزاً للسيطرة الصهيونية على المدينة. وقد كان ذلك في الأسبوع الأخير من نيسان 1948؛ وقام بالقسط الأكبر من المهمة وحدات من لواء كرملي.</w:t>
      </w:r>
    </w:p>
    <w:p/>
    <w:p>
      <w:pPr>
        <w:pStyle w:val="Heading2"/>
      </w:pPr>
      <w:bookmarkStart w:id="7" w:name="_Toc7"/>
      <w:r>
        <w:t>معالم  بارزة</w:t>
      </w:r>
      <w:bookmarkEnd w:id="7"/>
    </w:p>
    <w:p>
      <w:pPr>
        <w:pStyle w:val="rtlJustify"/>
      </w:pPr>
      <w:r>
        <w:rPr>
          <w:rFonts w:ascii="Traditional Arabic" w:hAnsi="Traditional Arabic" w:eastAsia="Traditional Arabic" w:cs="Traditional Arabic"/>
          <w:sz w:val="28"/>
          <w:szCs w:val="28"/>
          <w:rtl/>
        </w:rPr>
        <w:t xml:space="preserve">- كان فيها مسجد ومقبرة .</w:t>
      </w:r>
    </w:p>
    <w:p>
      <w:pPr>
        <w:pStyle w:val="rtlJustify"/>
      </w:pPr>
      <w:r>
        <w:rPr>
          <w:rFonts w:ascii="Traditional Arabic" w:hAnsi="Traditional Arabic" w:eastAsia="Traditional Arabic" w:cs="Traditional Arabic"/>
          <w:sz w:val="28"/>
          <w:szCs w:val="28"/>
          <w:rtl/>
        </w:rPr>
        <w:t xml:space="preserve"> أما مسجدها فقد اندثر ولم نجد له أي أثر .</w:t>
      </w:r>
    </w:p>
    <w:p>
      <w:pPr>
        <w:pStyle w:val="rtlJustify"/>
      </w:pPr>
      <w:r>
        <w:rPr>
          <w:rFonts w:ascii="Traditional Arabic" w:hAnsi="Traditional Arabic" w:eastAsia="Traditional Arabic" w:cs="Traditional Arabic"/>
          <w:sz w:val="28"/>
          <w:szCs w:val="28"/>
          <w:rtl/>
        </w:rPr>
        <w:t xml:space="preserve"> وأما المقبرة فلا تزال الشاهد الحي الذي لا يموت .</w:t>
      </w:r>
    </w:p>
    <w:p/>
    <w:p>
      <w:pPr>
        <w:pStyle w:val="Heading2"/>
      </w:pPr>
      <w:bookmarkStart w:id="8" w:name="_Toc8"/>
      <w:r>
        <w:t>الحدود</w:t>
      </w:r>
      <w:bookmarkEnd w:id="8"/>
    </w:p>
    <w:p>
      <w:pPr>
        <w:pStyle w:val="rtlJustify"/>
      </w:pPr>
      <w:r>
        <w:rPr>
          <w:rFonts w:ascii="Traditional Arabic" w:hAnsi="Traditional Arabic" w:eastAsia="Traditional Arabic" w:cs="Traditional Arabic"/>
          <w:sz w:val="28"/>
          <w:szCs w:val="28"/>
          <w:rtl/>
        </w:rPr>
        <w:t xml:space="preserve">- يحد خربة المنصورة من الشمال قرية الجلمة.</w:t>
      </w:r>
    </w:p>
    <w:p>
      <w:pPr>
        <w:pStyle w:val="rtlJustify"/>
      </w:pPr>
      <w:r>
        <w:rPr>
          <w:rFonts w:ascii="Traditional Arabic" w:hAnsi="Traditional Arabic" w:eastAsia="Traditional Arabic" w:cs="Traditional Arabic"/>
          <w:sz w:val="28"/>
          <w:szCs w:val="28"/>
          <w:rtl/>
        </w:rPr>
        <w:t xml:space="preserve">- ويحدها من الشمال الغربي قريتي عسفيا ودالية الكرمل.</w:t>
      </w:r>
    </w:p>
    <w:p>
      <w:pPr>
        <w:pStyle w:val="rtlJustify"/>
      </w:pPr>
      <w:r>
        <w:rPr>
          <w:rFonts w:ascii="Traditional Arabic" w:hAnsi="Traditional Arabic" w:eastAsia="Traditional Arabic" w:cs="Traditional Arabic"/>
          <w:sz w:val="28"/>
          <w:szCs w:val="28"/>
          <w:rtl/>
        </w:rPr>
        <w:t xml:space="preserve">- ويحدها من الجنوب قرية قيرة.</w:t>
      </w:r>
    </w:p>
    <w:p>
      <w:pPr>
        <w:pStyle w:val="rtlJustify"/>
      </w:pPr>
      <w:r>
        <w:rPr>
          <w:rFonts w:ascii="Traditional Arabic" w:hAnsi="Traditional Arabic" w:eastAsia="Traditional Arabic" w:cs="Traditional Arabic"/>
          <w:sz w:val="28"/>
          <w:szCs w:val="28"/>
          <w:rtl/>
        </w:rPr>
        <w:t xml:space="preserve">- ويحدها من الجنوب الغربي قرية ام الزينات.وقرية ام الدرج.</w:t>
      </w:r>
    </w:p>
    <w:p>
      <w:pPr>
        <w:pStyle w:val="rtlJustify"/>
      </w:pPr>
      <w:r>
        <w:rPr>
          <w:rFonts w:ascii="Traditional Arabic" w:hAnsi="Traditional Arabic" w:eastAsia="Traditional Arabic" w:cs="Traditional Arabic"/>
          <w:sz w:val="28"/>
          <w:szCs w:val="28"/>
          <w:rtl/>
        </w:rPr>
        <w:t xml:space="preserve">- ويحدها من الجنوب الشرقي قرية أبو زريق.</w:t>
      </w:r>
    </w:p>
    <w:p>
      <w:pPr>
        <w:pStyle w:val="rtlJustify"/>
      </w:pPr>
      <w:r>
        <w:rPr>
          <w:rFonts w:ascii="Traditional Arabic" w:hAnsi="Traditional Arabic" w:eastAsia="Traditional Arabic" w:cs="Traditional Arabic"/>
          <w:sz w:val="28"/>
          <w:szCs w:val="28"/>
          <w:rtl/>
        </w:rPr>
        <w:t xml:space="preserve">- ويحدها من الشرق قرية جباتا.</w:t>
      </w:r>
    </w:p>
    <w:p>
      <w:pPr>
        <w:pStyle w:val="rtlJustify"/>
      </w:pPr>
      <w:r>
        <w:rPr>
          <w:rFonts w:ascii="Traditional Arabic" w:hAnsi="Traditional Arabic" w:eastAsia="Traditional Arabic" w:cs="Traditional Arabic"/>
          <w:sz w:val="28"/>
          <w:szCs w:val="28"/>
          <w:rtl/>
        </w:rPr>
        <w:t xml:space="preserve">- ويحدها من الشمال قرية الشيخ بريك.</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2026-08-15T19:59:10+00:00</dcterms:created>
  <dcterms:modified xsi:type="dcterms:W3CDTF">2026-08-15T19:59:10+00:00</dcterms:modified>
</cp:coreProperties>
</file>

<file path=docProps/custom.xml><?xml version="1.0" encoding="utf-8"?>
<Properties xmlns="http://schemas.openxmlformats.org/officeDocument/2006/custom-properties" xmlns:vt="http://schemas.openxmlformats.org/officeDocument/2006/docPropsVTypes"/>
</file>